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pPr>
    </w:p>
    <w:p>
      <w:pPr>
        <w:jc w:val="center"/>
      </w:pPr>
      <w:r>
        <w:rPr>
          <w:rFonts w:ascii="Calibri" w:cs="Calibri" w:eastAsia="Calibri" w:hAnsi="Calibri"/>
          <w:b/>
          <w:bCs/>
          <w:color w:val="1B3A5C"/>
          <w:sz w:val="56"/>
          <w:szCs w:val="56"/>
        </w:rPr>
        <w:t xml:space="preserve">Enterprise CRM Implementation Proposal</w:t>
      </w:r>
    </w:p>
    <w:p>
      <w:pPr>
        <w:spacing w:before="200"/>
        <w:jc w:val="center"/>
      </w:pPr>
      <w:r>
        <w:rPr>
          <w:rFonts w:ascii="Calibri" w:cs="Calibri" w:eastAsia="Calibri" w:hAnsi="Calibri"/>
          <w:color w:val="2C5F8A"/>
          <w:sz w:val="32"/>
          <w:szCs w:val="32"/>
        </w:rPr>
        <w:t xml:space="preserve">Response to RFP AC-RFP-2026-CRM-001</w:t>
      </w:r>
    </w:p>
    <w:p>
      <w:pPr>
        <w:spacing w:before="600"/>
      </w:pPr>
    </w:p>
    <w:p>
      <w:pPr>
        <w:jc w:val="center"/>
      </w:pPr>
      <w:r>
        <w:rPr>
          <w:rFonts w:ascii="Calibri" w:cs="Calibri" w:eastAsia="Calibri" w:hAnsi="Calibri"/>
          <w:color w:val="333333"/>
          <w:sz w:val="24"/>
          <w:szCs w:val="24"/>
        </w:rPr>
        <w:t xml:space="preserve">Prepared for: Acme Corporation</w:t>
      </w:r>
    </w:p>
    <w:p>
      <w:pPr>
        <w:spacing w:before="200"/>
        <w:jc w:val="center"/>
      </w:pPr>
      <w:r>
        <w:rPr>
          <w:rFonts w:ascii="Calibri" w:cs="Calibri" w:eastAsia="Calibri" w:hAnsi="Calibri"/>
          <w:color w:val="333333"/>
          <w:sz w:val="24"/>
          <w:szCs w:val="24"/>
        </w:rPr>
        <w:t xml:space="preserve">Prepared by: [Your Company Name]</w:t>
      </w:r>
    </w:p>
    <w:p>
      <w:pPr>
        <w:spacing w:before="200"/>
        <w:jc w:val="center"/>
      </w:pPr>
      <w:r>
        <w:rPr>
          <w:rFonts w:ascii="Calibri" w:cs="Calibri" w:eastAsia="Calibri" w:hAnsi="Calibri"/>
          <w:color w:val="333333"/>
          <w:sz w:val="24"/>
          <w:szCs w:val="24"/>
        </w:rPr>
        <w:t xml:space="preserve">May 14, 2026</w:t>
      </w:r>
    </w:p>
    <w:p>
      <w:pPr>
        <w:spacing w:before="100"/>
        <w:jc w:val="center"/>
      </w:pPr>
      <w:r>
        <w:rPr>
          <w:rFonts w:ascii="Calibri" w:cs="Calibri" w:eastAsia="Calibri" w:hAnsi="Calibri"/>
          <w:color w:val="2C5F8A"/>
          <w:sz w:val="22"/>
          <w:szCs w:val="22"/>
        </w:rPr>
        <w:t xml:space="preserve">Version 1.0</w:t>
      </w:r>
    </w:p>
    <w:p>
      <w:pPr>
        <w:spacing w:before="600"/>
      </w:pPr>
    </w:p>
    <w:p>
      <w:pPr>
        <w:pStyle w:val="Heading1"/>
      </w:pPr>
      <w:r>
        <w:rPr>
          <w:rFonts w:ascii="Calibri" w:cs="Calibri" w:eastAsia="Calibri" w:hAnsi="Calibri"/>
          <w:b/>
          <w:bCs/>
          <w:color w:val="1B3A5C"/>
          <w:sz w:val="36"/>
          <w:szCs w:val="36"/>
        </w:rP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pPr>
        <w:pStyle w:val="Heading1"/>
        <w:spacing w:after="200" w:before="400"/>
      </w:pPr>
      <w:r>
        <w:rPr>
          <w:rFonts w:ascii="Calibri" w:cs="Calibri" w:eastAsia="Calibri" w:hAnsi="Calibri"/>
          <w:b/>
          <w:bCs/>
          <w:color w:val="1B3A5C"/>
          <w:sz w:val="36"/>
          <w:szCs w:val="36"/>
        </w:rPr>
        <w:t xml:space="preserve">1. Cover Letter</w:t>
      </w:r>
    </w:p>
    <w:p>
      <w:pPr>
        <w:spacing w:after="120" w:line="276"/>
      </w:pPr>
      <w:r>
        <w:rPr>
          <w:rFonts w:ascii="Calibri" w:cs="Calibri" w:eastAsia="Calibri" w:hAnsi="Calibri"/>
          <w:color w:val="333333"/>
          <w:sz w:val="22"/>
          <w:szCs w:val="22"/>
        </w:rPr>
        <w:t xml:space="preserve">May 14, 2026</w:t>
      </w:r>
    </w:p>
    <w:p>
      <w:pPr>
        <w:spacing w:after="120" w:line="276"/>
      </w:pPr>
      <w:r>
        <w:rPr>
          <w:rFonts w:ascii="Calibri" w:cs="Calibri" w:eastAsia="Calibri" w:hAnsi="Calibri"/>
          <w:color w:val="333333"/>
          <w:sz w:val="22"/>
          <w:szCs w:val="22"/>
        </w:rPr>
        <w:t xml:space="preserve">Jane Doe, VP of Digital Transformation
Acme Corporation
123 Main Street, Suite 100
Anytown, ST 00000</w:t>
      </w:r>
    </w:p>
    <w:p>
      <w:pPr>
        <w:spacing w:after="120" w:line="276"/>
      </w:pPr>
      <w:r>
        <w:rPr>
          <w:rFonts w:ascii="Calibri" w:cs="Calibri" w:eastAsia="Calibri" w:hAnsi="Calibri"/>
          <w:b/>
          <w:bCs/>
          <w:color w:val="333333"/>
          <w:sz w:val="22"/>
          <w:szCs w:val="22"/>
        </w:rPr>
        <w:t xml:space="preserve">Re: Response to RFP AC-RFP-2026-CRM-001 — Enterprise CRM Software Implementation</w:t>
      </w:r>
    </w:p>
    <w:p>
      <w:pPr>
        <w:spacing w:after="120" w:line="276"/>
      </w:pPr>
      <w:r>
        <w:rPr>
          <w:rFonts w:ascii="Calibri" w:cs="Calibri" w:eastAsia="Calibri" w:hAnsi="Calibri"/>
          <w:color w:val="333333"/>
          <w:sz w:val="22"/>
          <w:szCs w:val="22"/>
        </w:rPr>
        <w:t xml:space="preserve">Dear Ms. Doe and Members of the Selection Committee,</w:t>
      </w:r>
    </w:p>
    <w:p>
      <w:pPr>
        <w:spacing w:after="120" w:line="276"/>
      </w:pPr>
      <w:r>
        <w:rPr>
          <w:rFonts w:ascii="Calibri" w:cs="Calibri" w:eastAsia="Calibri" w:hAnsi="Calibri"/>
          <w:color w:val="333333"/>
          <w:sz w:val="22"/>
          <w:szCs w:val="22"/>
        </w:rPr>
        <w:t xml:space="preserve">We are pleased to submit our proposal in response to Acme Corporation's Request for Proposal for an Enterprise Customer Relationship Management (CRM) Software Implementation. We have thoroughly reviewed your requirements and are confident that our solution and implementation approach will deliver the unified, global CRM platform that Acme Corp needs to achieve its strategic objectives.</w:t>
      </w:r>
    </w:p>
    <w:p>
      <w:pPr>
        <w:spacing w:after="120" w:line="276"/>
      </w:pPr>
      <w:r>
        <w:rPr>
          <w:rFonts w:ascii="Calibri" w:cs="Calibri" w:eastAsia="Calibri" w:hAnsi="Calibri"/>
          <w:color w:val="333333"/>
          <w:sz w:val="22"/>
          <w:szCs w:val="22"/>
        </w:rPr>
        <w:t xml:space="preserve">Our proposal demonstrates a deep understanding of the challenges you face — from consolidating four disparate CRM systems across 25 countries to enabling the data-driven selling and customer experience transformation outlined in your strategic plan. We bring proven experience in large-scale, multi-region CRM deployments for manufacturing enterprises of comparable complexity.</w:t>
      </w:r>
    </w:p>
    <w:p>
      <w:pPr>
        <w:shd w:fill="FFF9E0" w:val="clear"/>
        <w:spacing w:after="120" w:line="276"/>
      </w:pPr>
      <w:r>
        <w:rPr>
          <w:rFonts w:ascii="Calibri" w:cs="Calibri" w:eastAsia="Calibri" w:hAnsi="Calibri"/>
          <w:b w:val="false"/>
          <w:bCs w:val="false"/>
          <w:color w:val="996600"/>
          <w:sz w:val="22"/>
          <w:szCs w:val="22"/>
        </w:rPr>
        <w:t xml:space="preserve">[SUGGESTED: 2-3 sentences on your specific value proposition and key differentiator for Acme Corp]</w:t>
      </w:r>
    </w:p>
    <w:p>
      <w:pPr>
        <w:spacing w:after="120" w:line="276"/>
      </w:pPr>
      <w:r>
        <w:rPr>
          <w:rFonts w:ascii="Calibri" w:cs="Calibri" w:eastAsia="Calibri" w:hAnsi="Calibri"/>
          <w:color w:val="333333"/>
          <w:sz w:val="22"/>
          <w:szCs w:val="22"/>
        </w:rPr>
        <w:t xml:space="preserve">We confirm that all pricing and terms in this proposal remain valid for 180 days from the submission deadline. We have executed the required NDA and comply with all submission requirements outlined in Section 8 of the RFP.</w:t>
      </w:r>
    </w:p>
    <w:p>
      <w:pPr>
        <w:spacing w:after="120" w:line="276"/>
      </w:pPr>
      <w:r>
        <w:rPr>
          <w:rFonts w:ascii="Calibri" w:cs="Calibri" w:eastAsia="Calibri" w:hAnsi="Calibri"/>
          <w:color w:val="333333"/>
          <w:sz w:val="22"/>
          <w:szCs w:val="22"/>
        </w:rPr>
        <w:t xml:space="preserve">We welcome the opportunity to demonstrate our solution during the vendor demonstration phase and look forward to a productive evaluation process.</w:t>
      </w:r>
    </w:p>
    <w:p>
      <w:pPr>
        <w:spacing w:after="120" w:line="276"/>
      </w:pPr>
      <w:r>
        <w:rPr>
          <w:rFonts w:ascii="Calibri" w:cs="Calibri" w:eastAsia="Calibri" w:hAnsi="Calibri"/>
          <w:color w:val="333333"/>
          <w:sz w:val="22"/>
          <w:szCs w:val="22"/>
        </w:rPr>
        <w:t xml:space="preserve">Respectfully submitted,</w:t>
      </w:r>
    </w:p>
    <w:p>
      <w:pPr>
        <w:shd w:fill="FFE0E0" w:val="clear"/>
        <w:spacing w:after="120" w:line="276"/>
      </w:pPr>
      <w:r>
        <w:rPr>
          <w:rFonts w:ascii="Calibri" w:cs="Calibri" w:eastAsia="Calibri" w:hAnsi="Calibri"/>
          <w:b/>
          <w:bCs/>
          <w:color w:val="CC0000"/>
          <w:sz w:val="22"/>
          <w:szCs w:val="22"/>
        </w:rPr>
        <w:t xml:space="preserve">[REQUIRED: Authorized signatory name, title, and signature]</w:t>
      </w:r>
    </w:p>
    <w:p>
      <w:pPr>
        <w:pStyle w:val="Heading1"/>
        <w:spacing w:after="200" w:before="400"/>
      </w:pPr>
      <w:r>
        <w:rPr>
          <w:rFonts w:ascii="Calibri" w:cs="Calibri" w:eastAsia="Calibri" w:hAnsi="Calibri"/>
          <w:b/>
          <w:bCs/>
          <w:color w:val="1B3A5C"/>
          <w:sz w:val="36"/>
          <w:szCs w:val="36"/>
        </w:rPr>
        <w:t xml:space="preserve">2. Executive Summary</w:t>
      </w:r>
    </w:p>
    <w:p>
      <w:pPr>
        <w:pStyle w:val="Heading2"/>
        <w:spacing w:after="160"/>
      </w:pPr>
      <w:r>
        <w:rPr>
          <w:rFonts w:ascii="Calibri" w:cs="Calibri" w:eastAsia="Calibri" w:hAnsi="Calibri"/>
          <w:b/>
          <w:bCs/>
          <w:color w:val="1B3A5C"/>
          <w:sz w:val="28"/>
          <w:szCs w:val="28"/>
        </w:rPr>
        <w:t xml:space="preserve">Understanding Your Challenge</w:t>
      </w:r>
    </w:p>
    <w:p>
      <w:pPr>
        <w:spacing w:after="120" w:line="276"/>
      </w:pPr>
      <w:r>
        <w:rPr>
          <w:rFonts w:ascii="Calibri" w:cs="Calibri" w:eastAsia="Calibri" w:hAnsi="Calibri"/>
          <w:color w:val="333333"/>
          <w:sz w:val="22"/>
          <w:szCs w:val="22"/>
        </w:rPr>
        <w:t xml:space="preserve">Acme Corporation stands at a critical inflection point. With $8.7B in revenue, 15,000 employees across 25 countries, and ambitious 15% annual growth targets through 2030, your success depends on a unified view of your 12,000+ accounts and 3.2 million customer contacts. Today, that view doesn't exist.</w:t>
      </w:r>
    </w:p>
    <w:p>
      <w:pPr>
        <w:spacing w:after="120" w:line="276"/>
      </w:pPr>
      <w:r>
        <w:rPr>
          <w:rFonts w:ascii="Calibri" w:cs="Calibri" w:eastAsia="Calibri" w:hAnsi="Calibri"/>
          <w:color w:val="333333"/>
          <w:sz w:val="22"/>
          <w:szCs w:val="22"/>
        </w:rPr>
        <w:t xml:space="preserve">Your CRM landscape — a patchwork of Salesforce, Microsoft Dynamics 365, legacy Oracle systems, and spreadsheet-based tracking — creates real business impact: sales reps spend 32% of their time on administrative tasks instead of selling, forecast accuracy languishes at 58%, and your NPS has declined from 62 to 47 over two years. Meanwhile, Salesforce license costs have risen 45% with no proportional increase in value.</w:t>
      </w:r>
    </w:p>
    <w:p>
      <w:pPr>
        <w:pStyle w:val="Heading2"/>
        <w:spacing w:after="160"/>
      </w:pPr>
      <w:r>
        <w:rPr>
          <w:rFonts w:ascii="Calibri" w:cs="Calibri" w:eastAsia="Calibri" w:hAnsi="Calibri"/>
          <w:b/>
          <w:bCs/>
          <w:color w:val="1B3A5C"/>
          <w:sz w:val="28"/>
          <w:szCs w:val="28"/>
        </w:rPr>
        <w:t xml:space="preserve">Our Proposed Solution</w:t>
      </w:r>
    </w:p>
    <w:p>
      <w:pPr>
        <w:spacing w:after="120" w:line="276"/>
      </w:pPr>
      <w:r>
        <w:rPr>
          <w:rFonts w:ascii="Calibri" w:cs="Calibri" w:eastAsia="Calibri" w:hAnsi="Calibri"/>
          <w:color w:val="333333"/>
          <w:sz w:val="22"/>
          <w:szCs w:val="22"/>
        </w:rPr>
        <w:t xml:space="preserve">We propose a unified, cloud-native CRM platform that consolidates all four existing systems into a single global instance — purpose-built for complex B2B manufacturing organizations like Acme Corp. Our solution delivers full Sales Force Automation, Marketing Automation, Customer Service, and Analytics capabilities across all 25 countries, with native multi-language support, multi-currency operations, and the 10 mandatory integrations specified in your RFP.</w:t>
      </w:r>
    </w:p>
    <w:p>
      <w:pPr>
        <w:pStyle w:val="Heading2"/>
        <w:spacing w:after="160"/>
      </w:pPr>
      <w:r>
        <w:rPr>
          <w:rFonts w:ascii="Calibri" w:cs="Calibri" w:eastAsia="Calibri" w:hAnsi="Calibri"/>
          <w:b/>
          <w:bCs/>
          <w:color w:val="1B3A5C"/>
          <w:sz w:val="28"/>
          <w:szCs w:val="28"/>
        </w:rPr>
        <w:t xml:space="preserve">Key Differentiators</w:t>
      </w:r>
    </w:p>
    <w:p>
      <w:pPr>
        <w:pStyle w:val="ListParagraph"/>
        <w:numPr>
          <w:ilvl w:val="0"/>
          <w:numId w:val="1"/>
        </w:numPr>
        <w:spacing w:after="60" w:line="276"/>
      </w:pPr>
      <w:r>
        <w:rPr>
          <w:rFonts w:ascii="Calibri" w:cs="Calibri" w:eastAsia="Calibri" w:hAnsi="Calibri"/>
          <w:b/>
          <w:bCs/>
          <w:color w:val="333333"/>
          <w:sz w:val="22"/>
          <w:szCs w:val="22"/>
        </w:rPr>
        <w:t xml:space="preserve">Manufacturing-native platform</w:t>
      </w:r>
      <w:r>
        <w:rPr>
          <w:rFonts w:ascii="Calibri" w:cs="Calibri" w:eastAsia="Calibri" w:hAnsi="Calibri"/>
          <w:color w:val="333333"/>
          <w:sz w:val="22"/>
          <w:szCs w:val="22"/>
        </w:rPr>
        <w:t xml:space="preserve"> — Purpose-built for complex B2B sales cycles with multi-level account hierarchies, territory management, and channel partner deal registration</w:t>
      </w:r>
    </w:p>
    <w:p>
      <w:pPr>
        <w:pStyle w:val="ListParagraph"/>
        <w:numPr>
          <w:ilvl w:val="0"/>
          <w:numId w:val="1"/>
        </w:numPr>
        <w:spacing w:after="60" w:line="276"/>
      </w:pPr>
      <w:r>
        <w:rPr>
          <w:rFonts w:ascii="Calibri" w:cs="Calibri" w:eastAsia="Calibri" w:hAnsi="Calibri"/>
          <w:b/>
          <w:bCs/>
          <w:color w:val="333333"/>
          <w:sz w:val="22"/>
          <w:szCs w:val="22"/>
        </w:rPr>
        <w:t xml:space="preserve">Proven global deployment</w:t>
      </w:r>
      <w:r>
        <w:rPr>
          <w:rFonts w:ascii="Calibri" w:cs="Calibri" w:eastAsia="Calibri" w:hAnsi="Calibri"/>
          <w:color w:val="333333"/>
          <w:sz w:val="22"/>
          <w:szCs w:val="22"/>
        </w:rPr>
        <w:t xml:space="preserve"> — Demonstrated experience deploying across 20+ countries simultaneously with full localization in all 5 primary languages required by Acme Corp</w:t>
      </w:r>
    </w:p>
    <w:p>
      <w:pPr>
        <w:pStyle w:val="ListParagraph"/>
        <w:numPr>
          <w:ilvl w:val="0"/>
          <w:numId w:val="1"/>
        </w:numPr>
        <w:spacing w:after="60" w:line="276"/>
      </w:pPr>
      <w:r>
        <w:rPr>
          <w:rFonts w:ascii="Calibri" w:cs="Calibri" w:eastAsia="Calibri" w:hAnsi="Calibri"/>
          <w:b/>
          <w:bCs/>
          <w:color w:val="333333"/>
          <w:sz w:val="22"/>
          <w:szCs w:val="22"/>
        </w:rPr>
        <w:t xml:space="preserve">Data migration expertise</w:t>
      </w:r>
      <w:r>
        <w:rPr>
          <w:rFonts w:ascii="Calibri" w:cs="Calibri" w:eastAsia="Calibri" w:hAnsi="Calibri"/>
          <w:color w:val="333333"/>
          <w:sz w:val="22"/>
          <w:szCs w:val="22"/>
        </w:rPr>
        <w:t xml:space="preserve"> — Specialized tooling for migrating from Salesforce, Dynamics 365, and legacy Oracle systems with deduplication across 4.9M+ contact records</w:t>
      </w:r>
    </w:p>
    <w:p>
      <w:pPr>
        <w:pStyle w:val="ListParagraph"/>
        <w:numPr>
          <w:ilvl w:val="0"/>
          <w:numId w:val="1"/>
        </w:numPr>
        <w:spacing w:after="60" w:line="276"/>
      </w:pPr>
      <w:r>
        <w:rPr>
          <w:rFonts w:ascii="Calibri" w:cs="Calibri" w:eastAsia="Calibri" w:hAnsi="Calibri"/>
          <w:b/>
          <w:bCs/>
          <w:color w:val="333333"/>
          <w:sz w:val="22"/>
          <w:szCs w:val="22"/>
        </w:rPr>
        <w:t xml:space="preserve">Rapid time-to-value</w:t>
      </w:r>
      <w:r>
        <w:rPr>
          <w:rFonts w:ascii="Calibri" w:cs="Calibri" w:eastAsia="Calibri" w:hAnsi="Calibri"/>
          <w:color w:val="333333"/>
          <w:sz w:val="22"/>
          <w:szCs w:val="22"/>
        </w:rPr>
        <w:t xml:space="preserve"> — Our Agile-hybrid methodology delivers a production-ready North America pilot within 12 months, with full global deployment in 22 months</w:t>
      </w:r>
    </w:p>
    <w:p>
      <w:pPr>
        <w:shd w:fill="FFF9E0" w:val="clear"/>
        <w:spacing w:after="120" w:line="276"/>
      </w:pPr>
      <w:r>
        <w:rPr>
          <w:rFonts w:ascii="Calibri" w:cs="Calibri" w:eastAsia="Calibri" w:hAnsi="Calibri"/>
          <w:b w:val="false"/>
          <w:bCs w:val="false"/>
          <w:color w:val="996600"/>
          <w:sz w:val="22"/>
          <w:szCs w:val="22"/>
        </w:rPr>
        <w:t xml:space="preserve">[SUGGESTED: Add 3-4 company-specific differentiators from differentiators.yaml]</w:t>
      </w:r>
    </w:p>
    <w:p>
      <w:pPr>
        <w:pStyle w:val="Heading2"/>
        <w:spacing w:after="160"/>
      </w:pPr>
      <w:r>
        <w:rPr>
          <w:rFonts w:ascii="Calibri" w:cs="Calibri" w:eastAsia="Calibri" w:hAnsi="Calibri"/>
          <w:b/>
          <w:bCs/>
          <w:color w:val="1B3A5C"/>
          <w:sz w:val="28"/>
          <w:szCs w:val="28"/>
        </w:rPr>
        <w:t xml:space="preserve">Projected Business Outcomes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shd w:fill="1B3A5C" w:val="clear"/>
          </w:tcPr>
          <w:p>
            <w:pPr>
              <w:jc w:val="center"/>
            </w:pPr>
            <w:r>
              <w:rPr>
                <w:rFonts w:ascii="Calibri" w:cs="Calibri" w:eastAsia="Calibri" w:hAnsi="Calibri"/>
                <w:b/>
                <w:bCs/>
                <w:color w:val="FFFFFF"/>
                <w:sz w:val="20"/>
                <w:szCs w:val="20"/>
              </w:rPr>
              <w:t xml:space="preserve">Acme Corp Objective</w:t>
            </w:r>
          </w:p>
        </w:tc>
        <w:tc>
          <w:tcPr>
            <w:tcW w:type="dxa" w:w="3120"/>
            <w:shd w:fill="1B3A5C" w:val="clear"/>
          </w:tcPr>
          <w:p>
            <w:pPr>
              <w:jc w:val="center"/>
            </w:pPr>
            <w:r>
              <w:rPr>
                <w:rFonts w:ascii="Calibri" w:cs="Calibri" w:eastAsia="Calibri" w:hAnsi="Calibri"/>
                <w:b/>
                <w:bCs/>
                <w:color w:val="FFFFFF"/>
                <w:sz w:val="20"/>
                <w:szCs w:val="20"/>
              </w:rPr>
              <w:t xml:space="preserve">Our Commitment</w:t>
            </w:r>
          </w:p>
        </w:tc>
        <w:tc>
          <w:tcPr>
            <w:tcW w:type="dxa" w:w="3120"/>
            <w:shd w:fill="1B3A5C" w:val="clear"/>
          </w:tcPr>
          <w:p>
            <w:pPr>
              <w:jc w:val="center"/>
            </w:pPr>
            <w:r>
              <w:rPr>
                <w:rFonts w:ascii="Calibri" w:cs="Calibri" w:eastAsia="Calibri" w:hAnsi="Calibri"/>
                <w:b/>
                <w:bCs/>
                <w:color w:val="FFFFFF"/>
                <w:sz w:val="20"/>
                <w:szCs w:val="20"/>
              </w:rPr>
              <w:t xml:space="preserve">Timeline</w:t>
            </w:r>
          </w:p>
        </w:tc>
      </w:tr>
      <w:tr>
        <w:tc>
          <w:tcPr>
            <w:tcW w:type="dxa" w:w="3120"/>
          </w:tcPr>
          <w:p>
            <w:pPr>
              <w:jc w:val="left"/>
            </w:pPr>
            <w:r>
              <w:rPr>
                <w:rFonts w:ascii="Calibri" w:cs="Calibri" w:eastAsia="Calibri" w:hAnsi="Calibri"/>
                <w:b w:val="false"/>
                <w:bCs w:val="false"/>
                <w:color w:val="333333"/>
                <w:sz w:val="20"/>
                <w:szCs w:val="20"/>
              </w:rPr>
              <w:t xml:space="preserve">Sales productivity +25%</w:t>
            </w:r>
          </w:p>
        </w:tc>
        <w:tc>
          <w:tcPr>
            <w:tcW w:type="dxa" w:w="3120"/>
          </w:tcPr>
          <w:p>
            <w:pPr>
              <w:jc w:val="left"/>
            </w:pPr>
            <w:r>
              <w:rPr>
                <w:rFonts w:ascii="Calibri" w:cs="Calibri" w:eastAsia="Calibri" w:hAnsi="Calibri"/>
                <w:b w:val="false"/>
                <w:bCs w:val="false"/>
                <w:color w:val="333333"/>
                <w:sz w:val="20"/>
                <w:szCs w:val="20"/>
              </w:rPr>
              <w:t xml:space="preserve">Reduce admin time from 32% to &lt;12%</w:t>
            </w:r>
          </w:p>
        </w:tc>
        <w:tc>
          <w:tcPr>
            <w:tcW w:type="dxa" w:w="3120"/>
          </w:tcPr>
          <w:p>
            <w:pPr>
              <w:jc w:val="left"/>
            </w:pPr>
            <w:r>
              <w:rPr>
                <w:rFonts w:ascii="Calibri" w:cs="Calibri" w:eastAsia="Calibri" w:hAnsi="Calibri"/>
                <w:b w:val="false"/>
                <w:bCs w:val="false"/>
                <w:color w:val="333333"/>
                <w:sz w:val="20"/>
                <w:szCs w:val="20"/>
              </w:rPr>
              <w:t xml:space="preserve">Within 12 months of go-live</w:t>
            </w:r>
          </w:p>
        </w:tc>
      </w:tr>
      <w:tr>
        <w:tc>
          <w:tcPr>
            <w:tcW w:type="dxa" w:w="3120"/>
            <w:shd w:fill="F5F5F5" w:val="clear"/>
          </w:tcPr>
          <w:p>
            <w:pPr>
              <w:jc w:val="left"/>
            </w:pPr>
            <w:r>
              <w:rPr>
                <w:rFonts w:ascii="Calibri" w:cs="Calibri" w:eastAsia="Calibri" w:hAnsi="Calibri"/>
                <w:b w:val="false"/>
                <w:bCs w:val="false"/>
                <w:color w:val="333333"/>
                <w:sz w:val="20"/>
                <w:szCs w:val="20"/>
              </w:rPr>
              <w:t xml:space="preserve">Forecast accuracy 85%+</w:t>
            </w:r>
          </w:p>
        </w:tc>
        <w:tc>
          <w:tcPr>
            <w:tcW w:type="dxa" w:w="3120"/>
            <w:shd w:fill="F5F5F5" w:val="clear"/>
          </w:tcPr>
          <w:p>
            <w:pPr>
              <w:jc w:val="left"/>
            </w:pPr>
            <w:r>
              <w:rPr>
                <w:rFonts w:ascii="Calibri" w:cs="Calibri" w:eastAsia="Calibri" w:hAnsi="Calibri"/>
                <w:b w:val="false"/>
                <w:bCs w:val="false"/>
                <w:color w:val="333333"/>
                <w:sz w:val="20"/>
                <w:szCs w:val="20"/>
              </w:rPr>
              <w:t xml:space="preserve">AI-driven forecasting with multi-dimensional models</w:t>
            </w:r>
          </w:p>
        </w:tc>
        <w:tc>
          <w:tcPr>
            <w:tcW w:type="dxa" w:w="3120"/>
            <w:shd w:fill="F5F5F5" w:val="clear"/>
          </w:tcPr>
          <w:p>
            <w:pPr>
              <w:jc w:val="left"/>
            </w:pPr>
            <w:r>
              <w:rPr>
                <w:rFonts w:ascii="Calibri" w:cs="Calibri" w:eastAsia="Calibri" w:hAnsi="Calibri"/>
                <w:b w:val="false"/>
                <w:bCs w:val="false"/>
                <w:color w:val="333333"/>
                <w:sz w:val="20"/>
                <w:szCs w:val="20"/>
              </w:rPr>
              <w:t xml:space="preserve">Within 18 months</w:t>
            </w:r>
          </w:p>
        </w:tc>
      </w:tr>
      <w:tr>
        <w:tc>
          <w:tcPr>
            <w:tcW w:type="dxa" w:w="3120"/>
          </w:tcPr>
          <w:p>
            <w:pPr>
              <w:jc w:val="left"/>
            </w:pPr>
            <w:r>
              <w:rPr>
                <w:rFonts w:ascii="Calibri" w:cs="Calibri" w:eastAsia="Calibri" w:hAnsi="Calibri"/>
                <w:b w:val="false"/>
                <w:bCs w:val="false"/>
                <w:color w:val="333333"/>
                <w:sz w:val="20"/>
                <w:szCs w:val="20"/>
              </w:rPr>
              <w:t xml:space="preserve">360-degree customer view</w:t>
            </w:r>
          </w:p>
        </w:tc>
        <w:tc>
          <w:tcPr>
            <w:tcW w:type="dxa" w:w="3120"/>
          </w:tcPr>
          <w:p>
            <w:pPr>
              <w:jc w:val="left"/>
            </w:pPr>
            <w:r>
              <w:rPr>
                <w:rFonts w:ascii="Calibri" w:cs="Calibri" w:eastAsia="Calibri" w:hAnsi="Calibri"/>
                <w:b w:val="false"/>
                <w:bCs w:val="false"/>
                <w:color w:val="333333"/>
                <w:sz w:val="20"/>
                <w:szCs w:val="20"/>
              </w:rPr>
              <w:t xml:space="preserve">Unified data model across all 4 divisions</w:t>
            </w:r>
          </w:p>
        </w:tc>
        <w:tc>
          <w:tcPr>
            <w:tcW w:type="dxa" w:w="3120"/>
          </w:tcPr>
          <w:p>
            <w:pPr>
              <w:jc w:val="left"/>
            </w:pPr>
            <w:r>
              <w:rPr>
                <w:rFonts w:ascii="Calibri" w:cs="Calibri" w:eastAsia="Calibri" w:hAnsi="Calibri"/>
                <w:b w:val="false"/>
                <w:bCs w:val="false"/>
                <w:color w:val="333333"/>
                <w:sz w:val="20"/>
                <w:szCs w:val="20"/>
              </w:rPr>
              <w:t xml:space="preserve">At North America go-live</w:t>
            </w:r>
          </w:p>
        </w:tc>
      </w:tr>
      <w:tr>
        <w:tc>
          <w:tcPr>
            <w:tcW w:type="dxa" w:w="3120"/>
            <w:shd w:fill="F5F5F5" w:val="clear"/>
          </w:tcPr>
          <w:p>
            <w:pPr>
              <w:jc w:val="left"/>
            </w:pPr>
            <w:r>
              <w:rPr>
                <w:rFonts w:ascii="Calibri" w:cs="Calibri" w:eastAsia="Calibri" w:hAnsi="Calibri"/>
                <w:b w:val="false"/>
                <w:bCs w:val="false"/>
                <w:color w:val="333333"/>
                <w:sz w:val="20"/>
                <w:szCs w:val="20"/>
              </w:rPr>
              <w:t xml:space="preserve">Service resolution -40%</w:t>
            </w:r>
          </w:p>
        </w:tc>
        <w:tc>
          <w:tcPr>
            <w:tcW w:type="dxa" w:w="3120"/>
            <w:shd w:fill="F5F5F5" w:val="clear"/>
          </w:tcPr>
          <w:p>
            <w:pPr>
              <w:jc w:val="left"/>
            </w:pPr>
            <w:r>
              <w:rPr>
                <w:rFonts w:ascii="Calibri" w:cs="Calibri" w:eastAsia="Calibri" w:hAnsi="Calibri"/>
                <w:b w:val="false"/>
                <w:bCs w:val="false"/>
                <w:color w:val="333333"/>
                <w:sz w:val="20"/>
                <w:szCs w:val="20"/>
              </w:rPr>
              <w:t xml:space="preserve">Omnichannel routing with AI-assisted resolution</w:t>
            </w:r>
          </w:p>
        </w:tc>
        <w:tc>
          <w:tcPr>
            <w:tcW w:type="dxa" w:w="3120"/>
            <w:shd w:fill="F5F5F5" w:val="clear"/>
          </w:tcPr>
          <w:p>
            <w:pPr>
              <w:jc w:val="left"/>
            </w:pPr>
            <w:r>
              <w:rPr>
                <w:rFonts w:ascii="Calibri" w:cs="Calibri" w:eastAsia="Calibri" w:hAnsi="Calibri"/>
                <w:b w:val="false"/>
                <w:bCs w:val="false"/>
                <w:color w:val="333333"/>
                <w:sz w:val="20"/>
                <w:szCs w:val="20"/>
              </w:rPr>
              <w:t xml:space="preserve">Within 6 months of deployment</w:t>
            </w:r>
          </w:p>
        </w:tc>
      </w:tr>
      <w:tr>
        <w:tc>
          <w:tcPr>
            <w:tcW w:type="dxa" w:w="3120"/>
          </w:tcPr>
          <w:p>
            <w:pPr>
              <w:jc w:val="left"/>
            </w:pPr>
            <w:r>
              <w:rPr>
                <w:rFonts w:ascii="Calibri" w:cs="Calibri" w:eastAsia="Calibri" w:hAnsi="Calibri"/>
                <w:b w:val="false"/>
                <w:bCs w:val="false"/>
                <w:color w:val="333333"/>
                <w:sz w:val="20"/>
                <w:szCs w:val="20"/>
              </w:rPr>
              <w:t xml:space="preserve">NPS improvement</w:t>
            </w:r>
          </w:p>
        </w:tc>
        <w:tc>
          <w:tcPr>
            <w:tcW w:type="dxa" w:w="3120"/>
          </w:tcPr>
          <w:p>
            <w:pPr>
              <w:jc w:val="left"/>
            </w:pPr>
            <w:r>
              <w:rPr>
                <w:rFonts w:ascii="Calibri" w:cs="Calibri" w:eastAsia="Calibri" w:hAnsi="Calibri"/>
                <w:b w:val="false"/>
                <w:bCs w:val="false"/>
                <w:color w:val="333333"/>
                <w:sz w:val="20"/>
                <w:szCs w:val="20"/>
              </w:rPr>
              <w:t xml:space="preserve">Consistent experience across all touchpoints</w:t>
            </w:r>
          </w:p>
        </w:tc>
        <w:tc>
          <w:tcPr>
            <w:tcW w:type="dxa" w:w="3120"/>
          </w:tcPr>
          <w:p>
            <w:pPr>
              <w:jc w:val="left"/>
            </w:pPr>
            <w:r>
              <w:rPr>
                <w:rFonts w:ascii="Calibri" w:cs="Calibri" w:eastAsia="Calibri" w:hAnsi="Calibri"/>
                <w:b w:val="false"/>
                <w:bCs w:val="false"/>
                <w:color w:val="333333"/>
                <w:sz w:val="20"/>
                <w:szCs w:val="20"/>
              </w:rPr>
              <w:t xml:space="preserve">Ongoing improvement</w:t>
            </w:r>
          </w:p>
        </w:tc>
      </w:tr>
      <w:tr>
        <w:tc>
          <w:tcPr>
            <w:tcW w:type="dxa" w:w="3120"/>
            <w:shd w:fill="F5F5F5" w:val="clear"/>
          </w:tcPr>
          <w:p>
            <w:pPr>
              <w:jc w:val="left"/>
            </w:pPr>
            <w:r>
              <w:rPr>
                <w:rFonts w:ascii="Calibri" w:cs="Calibri" w:eastAsia="Calibri" w:hAnsi="Calibri"/>
                <w:b w:val="false"/>
                <w:bCs w:val="false"/>
                <w:color w:val="333333"/>
                <w:sz w:val="20"/>
                <w:szCs w:val="20"/>
              </w:rPr>
              <w:t xml:space="preserve">CRM cost reduction 30%</w:t>
            </w:r>
          </w:p>
        </w:tc>
        <w:tc>
          <w:tcPr>
            <w:tcW w:type="dxa" w:w="3120"/>
            <w:shd w:fill="F5F5F5" w:val="clear"/>
          </w:tcPr>
          <w:p>
            <w:pPr>
              <w:jc w:val="left"/>
            </w:pPr>
            <w:r>
              <w:rPr>
                <w:rFonts w:ascii="Calibri" w:cs="Calibri" w:eastAsia="Calibri" w:hAnsi="Calibri"/>
                <w:b w:val="false"/>
                <w:bCs w:val="false"/>
                <w:color w:val="333333"/>
                <w:sz w:val="20"/>
                <w:szCs w:val="20"/>
              </w:rPr>
              <w:t xml:space="preserve">Platform consolidation eliminates redundant licenses</w:t>
            </w:r>
          </w:p>
        </w:tc>
        <w:tc>
          <w:tcPr>
            <w:tcW w:type="dxa" w:w="3120"/>
            <w:shd w:fill="F5F5F5" w:val="clear"/>
          </w:tcPr>
          <w:p>
            <w:pPr>
              <w:jc w:val="left"/>
            </w:pPr>
            <w:r>
              <w:rPr>
                <w:rFonts w:ascii="Calibri" w:cs="Calibri" w:eastAsia="Calibri" w:hAnsi="Calibri"/>
                <w:b w:val="false"/>
                <w:bCs w:val="false"/>
                <w:color w:val="333333"/>
                <w:sz w:val="20"/>
                <w:szCs w:val="20"/>
              </w:rPr>
              <w:t xml:space="preserve">Year 2 onward</w:t>
            </w:r>
          </w:p>
        </w:tc>
      </w:tr>
    </w:tbl>
    <w:p>
      <w:pPr>
        <w:pStyle w:val="Heading1"/>
        <w:spacing w:after="200" w:before="400"/>
      </w:pPr>
      <w:r>
        <w:rPr>
          <w:rFonts w:ascii="Calibri" w:cs="Calibri" w:eastAsia="Calibri" w:hAnsi="Calibri"/>
          <w:b/>
          <w:bCs/>
          <w:color w:val="1B3A5C"/>
          <w:sz w:val="36"/>
          <w:szCs w:val="36"/>
        </w:rPr>
        <w:t xml:space="preserve">3. Understanding of Requirements</w:t>
      </w:r>
    </w:p>
    <w:p>
      <w:pPr>
        <w:spacing w:after="120" w:line="276"/>
      </w:pPr>
      <w:r>
        <w:rPr>
          <w:rFonts w:ascii="Calibri" w:cs="Calibri" w:eastAsia="Calibri" w:hAnsi="Calibri"/>
          <w:color w:val="333333"/>
          <w:sz w:val="22"/>
          <w:szCs w:val="22"/>
        </w:rPr>
        <w:t xml:space="preserve">We have conducted a deep analysis of RFP AC-RFP-2026-CRM-001 and its 155 detailed requirements across 8 technical categories. This section demonstrates our understanding of your needs, the challenges unique to your environment, and the assumptions that underpin our approach.</w:t>
      </w:r>
    </w:p>
    <w:p>
      <w:pPr>
        <w:pStyle w:val="Heading2"/>
        <w:spacing w:after="160"/>
      </w:pPr>
      <w:r>
        <w:rPr>
          <w:rFonts w:ascii="Calibri" w:cs="Calibri" w:eastAsia="Calibri" w:hAnsi="Calibri"/>
          <w:b/>
          <w:bCs/>
          <w:color w:val="1B3A5C"/>
          <w:sz w:val="28"/>
          <w:szCs w:val="28"/>
        </w:rPr>
        <w:t xml:space="preserve">Scope Summary</w:t>
      </w:r>
    </w:p>
    <w:p>
      <w:pPr>
        <w:spacing w:after="120" w:line="276"/>
      </w:pPr>
      <w:r>
        <w:rPr>
          <w:rFonts w:ascii="Calibri" w:cs="Calibri" w:eastAsia="Calibri" w:hAnsi="Calibri"/>
          <w:color w:val="333333"/>
          <w:sz w:val="22"/>
          <w:szCs w:val="22"/>
        </w:rPr>
        <w:t xml:space="preserve">The engagement encompasses a complete CRM transformation: replacing four disconnected systems (Salesforce Sales Cloud, Microsoft Dynamics 365, two legacy Oracle applications, and spreadsheet-based tracking) with a single unified platform serving 4,395 users across 25 countries. The scope includes platform configuration and customization, migration of approximately 4.9 million contact records and 2.25 million opportunity records from heterogeneous sources, development of 10 mandatory system integrations, a multi-modal training program in 5 primary languages, and organizational change management across all regions.</w:t>
      </w:r>
    </w:p>
    <w:p>
      <w:pPr>
        <w:pStyle w:val="Heading2"/>
        <w:spacing w:after="160"/>
      </w:pPr>
      <w:r>
        <w:rPr>
          <w:rFonts w:ascii="Calibri" w:cs="Calibri" w:eastAsia="Calibri" w:hAnsi="Calibri"/>
          <w:b/>
          <w:bCs/>
          <w:color w:val="1B3A5C"/>
          <w:sz w:val="28"/>
          <w:szCs w:val="28"/>
        </w:rPr>
        <w:t xml:space="preserve">Key Challenges We've Identified</w:t>
      </w:r>
    </w:p>
    <w:p>
      <w:pPr>
        <w:spacing w:after="60" w:line="276"/>
      </w:pPr>
      <w:r>
        <w:rPr>
          <w:rFonts w:ascii="Calibri" w:cs="Calibri" w:eastAsia="Calibri" w:hAnsi="Calibri"/>
          <w:b/>
          <w:bCs/>
          <w:color w:val="333333"/>
          <w:sz w:val="22"/>
          <w:szCs w:val="22"/>
        </w:rPr>
        <w:t xml:space="preserve">1. </w:t>
      </w:r>
      <w:r>
        <w:rPr>
          <w:rFonts w:ascii="Calibri" w:cs="Calibri" w:eastAsia="Calibri" w:hAnsi="Calibri"/>
          <w:b/>
          <w:bCs/>
          <w:color w:val="333333"/>
          <w:sz w:val="22"/>
          <w:szCs w:val="22"/>
        </w:rPr>
        <w:t xml:space="preserve">Data quality variance across source systems</w:t>
      </w:r>
      <w:r>
        <w:rPr>
          <w:rFonts w:ascii="Calibri" w:cs="Calibri" w:eastAsia="Calibri" w:hAnsi="Calibri"/>
          <w:color w:val="333333"/>
          <w:sz w:val="22"/>
          <w:szCs w:val="22"/>
        </w:rPr>
        <w:t xml:space="preserve"> — APAC legacy data is estimated at only 65% quality, and LATAM spreadsheet data (2,300+ files) will require significant cleansing. Our migration approach includes a dedicated data profiling and enrichment phase.</w:t>
      </w:r>
    </w:p>
    <w:p>
      <w:pPr>
        <w:spacing w:after="60" w:line="276"/>
      </w:pPr>
      <w:r>
        <w:rPr>
          <w:rFonts w:ascii="Calibri" w:cs="Calibri" w:eastAsia="Calibri" w:hAnsi="Calibri"/>
          <w:b/>
          <w:bCs/>
          <w:color w:val="333333"/>
          <w:sz w:val="22"/>
          <w:szCs w:val="22"/>
        </w:rPr>
        <w:t xml:space="preserve">2. </w:t>
      </w:r>
      <w:r>
        <w:rPr>
          <w:rFonts w:ascii="Calibri" w:cs="Calibri" w:eastAsia="Calibri" w:hAnsi="Calibri"/>
          <w:b/>
          <w:bCs/>
          <w:color w:val="333333"/>
          <w:sz w:val="22"/>
          <w:szCs w:val="22"/>
        </w:rPr>
        <w:t xml:space="preserve">340+ custom Salesforce objects</w:t>
      </w:r>
      <w:r>
        <w:rPr>
          <w:rFonts w:ascii="Calibri" w:cs="Calibri" w:eastAsia="Calibri" w:hAnsi="Calibri"/>
          <w:color w:val="333333"/>
          <w:sz w:val="22"/>
          <w:szCs w:val="22"/>
        </w:rPr>
        <w:t xml:space="preserve"> — The North American Salesforce instance is heavily customized. We will conduct a customization audit to determine what should be migrated, rebuilt, or retired.</w:t>
      </w:r>
    </w:p>
    <w:p>
      <w:pPr>
        <w:spacing w:after="60" w:line="276"/>
      </w:pPr>
      <w:r>
        <w:rPr>
          <w:rFonts w:ascii="Calibri" w:cs="Calibri" w:eastAsia="Calibri" w:hAnsi="Calibri"/>
          <w:b/>
          <w:bCs/>
          <w:color w:val="333333"/>
          <w:sz w:val="22"/>
          <w:szCs w:val="22"/>
        </w:rPr>
        <w:t xml:space="preserve">3. </w:t>
      </w:r>
      <w:r>
        <w:rPr>
          <w:rFonts w:ascii="Calibri" w:cs="Calibri" w:eastAsia="Calibri" w:hAnsi="Calibri"/>
          <w:b/>
          <w:bCs/>
          <w:color w:val="333333"/>
          <w:sz w:val="22"/>
          <w:szCs w:val="22"/>
        </w:rPr>
        <w:t xml:space="preserve">Concurrent system operation</w:t>
      </w:r>
      <w:r>
        <w:rPr>
          <w:rFonts w:ascii="Calibri" w:cs="Calibri" w:eastAsia="Calibri" w:hAnsi="Calibri"/>
          <w:color w:val="333333"/>
          <w:sz w:val="22"/>
          <w:szCs w:val="22"/>
        </w:rPr>
        <w:t xml:space="preserve"> — During the 18-24 month phased rollout, multiple systems will run simultaneously. Our integration architecture includes cross-system data synchronization to maintain operational continuity.</w:t>
      </w:r>
    </w:p>
    <w:p>
      <w:pPr>
        <w:spacing w:after="60" w:line="276"/>
      </w:pPr>
      <w:r>
        <w:rPr>
          <w:rFonts w:ascii="Calibri" w:cs="Calibri" w:eastAsia="Calibri" w:hAnsi="Calibri"/>
          <w:b/>
          <w:bCs/>
          <w:color w:val="333333"/>
          <w:sz w:val="22"/>
          <w:szCs w:val="22"/>
        </w:rPr>
        <w:t xml:space="preserve">4. </w:t>
      </w:r>
      <w:r>
        <w:rPr>
          <w:rFonts w:ascii="Calibri" w:cs="Calibri" w:eastAsia="Calibri" w:hAnsi="Calibri"/>
          <w:b/>
          <w:bCs/>
          <w:color w:val="333333"/>
          <w:sz w:val="22"/>
          <w:szCs w:val="22"/>
        </w:rPr>
        <w:t xml:space="preserve">Cultural and regulatory diversity</w:t>
      </w:r>
      <w:r>
        <w:rPr>
          <w:rFonts w:ascii="Calibri" w:cs="Calibri" w:eastAsia="Calibri" w:hAnsi="Calibri"/>
          <w:color w:val="333333"/>
          <w:sz w:val="22"/>
          <w:szCs w:val="22"/>
        </w:rPr>
        <w:t xml:space="preserve"> — Deploying across 25 countries requires sensitivity to local business practices, data residency regulations (GDPR in EU, PIPL in China, CCPA in California), and language requirements.</w:t>
      </w:r>
    </w:p>
    <w:p>
      <w:pPr>
        <w:spacing w:after="60" w:line="276"/>
      </w:pPr>
      <w:r>
        <w:rPr>
          <w:rFonts w:ascii="Calibri" w:cs="Calibri" w:eastAsia="Calibri" w:hAnsi="Calibri"/>
          <w:b/>
          <w:bCs/>
          <w:color w:val="333333"/>
          <w:sz w:val="22"/>
          <w:szCs w:val="22"/>
        </w:rPr>
        <w:t xml:space="preserve">5. </w:t>
      </w:r>
      <w:r>
        <w:rPr>
          <w:rFonts w:ascii="Calibri" w:cs="Calibri" w:eastAsia="Calibri" w:hAnsi="Calibri"/>
          <w:b/>
          <w:bCs/>
          <w:color w:val="333333"/>
          <w:sz w:val="22"/>
          <w:szCs w:val="22"/>
        </w:rPr>
        <w:t xml:space="preserve">Adoption at scale</w:t>
      </w:r>
      <w:r>
        <w:rPr>
          <w:rFonts w:ascii="Calibri" w:cs="Calibri" w:eastAsia="Calibri" w:hAnsi="Calibri"/>
          <w:color w:val="333333"/>
          <w:sz w:val="22"/>
          <w:szCs w:val="22"/>
        </w:rPr>
        <w:t xml:space="preserve"> — With 4,395 users globally, the 90%+ adoption target (OBJ-06) requires a robust change management program with local champions, not just training.</w:t>
      </w:r>
    </w:p>
    <w:p>
      <w:pPr>
        <w:pStyle w:val="Heading2"/>
        <w:spacing w:after="160"/>
      </w:pPr>
      <w:r>
        <w:rPr>
          <w:rFonts w:ascii="Calibri" w:cs="Calibri" w:eastAsia="Calibri" w:hAnsi="Calibri"/>
          <w:b/>
          <w:bCs/>
          <w:color w:val="1B3A5C"/>
          <w:sz w:val="28"/>
          <w:szCs w:val="28"/>
        </w:rPr>
        <w:t xml:space="preserve">Assumptions</w:t>
      </w:r>
    </w:p>
    <w:p>
      <w:pPr>
        <w:spacing w:after="60" w:line="276"/>
      </w:pPr>
      <w:r>
        <w:rPr>
          <w:rFonts w:ascii="Calibri" w:cs="Calibri" w:eastAsia="Calibri" w:hAnsi="Calibri"/>
          <w:b/>
          <w:bCs/>
          <w:color w:val="333333"/>
          <w:sz w:val="22"/>
          <w:szCs w:val="22"/>
        </w:rPr>
        <w:t xml:space="preserve">1. </w:t>
      </w:r>
      <w:r>
        <w:rPr>
          <w:rFonts w:ascii="Calibri" w:cs="Calibri" w:eastAsia="Calibri" w:hAnsi="Calibri"/>
          <w:color w:val="333333"/>
          <w:sz w:val="22"/>
          <w:szCs w:val="22"/>
        </w:rPr>
        <w:t xml:space="preserve">Acme Corp will provide dedicated business SMEs (minimum 2 per region) for requirements validation and UAT</w:t>
      </w:r>
    </w:p>
    <w:p>
      <w:pPr>
        <w:spacing w:after="60" w:line="276"/>
      </w:pPr>
      <w:r>
        <w:rPr>
          <w:rFonts w:ascii="Calibri" w:cs="Calibri" w:eastAsia="Calibri" w:hAnsi="Calibri"/>
          <w:b/>
          <w:bCs/>
          <w:color w:val="333333"/>
          <w:sz w:val="22"/>
          <w:szCs w:val="22"/>
        </w:rPr>
        <w:t xml:space="preserve">2. </w:t>
      </w:r>
      <w:r>
        <w:rPr>
          <w:rFonts w:ascii="Calibri" w:cs="Calibri" w:eastAsia="Calibri" w:hAnsi="Calibri"/>
          <w:color w:val="333333"/>
          <w:sz w:val="22"/>
          <w:szCs w:val="22"/>
        </w:rPr>
        <w:t xml:space="preserve">Existing Salesforce, Dynamics 365, and Oracle system administrators will be available for data extraction and API documentation</w:t>
      </w:r>
    </w:p>
    <w:p>
      <w:pPr>
        <w:spacing w:after="60" w:line="276"/>
      </w:pPr>
      <w:r>
        <w:rPr>
          <w:rFonts w:ascii="Calibri" w:cs="Calibri" w:eastAsia="Calibri" w:hAnsi="Calibri"/>
          <w:b/>
          <w:bCs/>
          <w:color w:val="333333"/>
          <w:sz w:val="22"/>
          <w:szCs w:val="22"/>
        </w:rPr>
        <w:t xml:space="preserve">3. </w:t>
      </w:r>
      <w:r>
        <w:rPr>
          <w:rFonts w:ascii="Calibri" w:cs="Calibri" w:eastAsia="Calibri" w:hAnsi="Calibri"/>
          <w:color w:val="333333"/>
          <w:sz w:val="22"/>
          <w:szCs w:val="22"/>
        </w:rPr>
        <w:t xml:space="preserve">SAP S/4HANA integration will use standard BAPI/RFC interfaces; custom ABAP development is out of scope</w:t>
      </w:r>
    </w:p>
    <w:p>
      <w:pPr>
        <w:spacing w:after="60" w:line="276"/>
      </w:pPr>
      <w:r>
        <w:rPr>
          <w:rFonts w:ascii="Calibri" w:cs="Calibri" w:eastAsia="Calibri" w:hAnsi="Calibri"/>
          <w:b/>
          <w:bCs/>
          <w:color w:val="333333"/>
          <w:sz w:val="22"/>
          <w:szCs w:val="22"/>
        </w:rPr>
        <w:t xml:space="preserve">4. </w:t>
      </w:r>
      <w:r>
        <w:rPr>
          <w:rFonts w:ascii="Calibri" w:cs="Calibri" w:eastAsia="Calibri" w:hAnsi="Calibri"/>
          <w:color w:val="333333"/>
          <w:sz w:val="22"/>
          <w:szCs w:val="22"/>
        </w:rPr>
        <w:t xml:space="preserve">Azure AD will serve as the identity provider for SSO across all regions</w:t>
      </w:r>
    </w:p>
    <w:p>
      <w:pPr>
        <w:spacing w:after="60" w:line="276"/>
      </w:pPr>
      <w:r>
        <w:rPr>
          <w:rFonts w:ascii="Calibri" w:cs="Calibri" w:eastAsia="Calibri" w:hAnsi="Calibri"/>
          <w:b/>
          <w:bCs/>
          <w:color w:val="333333"/>
          <w:sz w:val="22"/>
          <w:szCs w:val="22"/>
        </w:rPr>
        <w:t xml:space="preserve">5. </w:t>
      </w:r>
      <w:r>
        <w:rPr>
          <w:rFonts w:ascii="Calibri" w:cs="Calibri" w:eastAsia="Calibri" w:hAnsi="Calibri"/>
          <w:color w:val="333333"/>
          <w:sz w:val="22"/>
          <w:szCs w:val="22"/>
        </w:rPr>
        <w:t xml:space="preserve">The North America pilot (Phase 3) will target the Aerospace Components division's 500 most active users</w:t>
      </w:r>
    </w:p>
    <w:p>
      <w:pPr>
        <w:spacing w:after="60" w:line="276"/>
      </w:pPr>
      <w:r>
        <w:rPr>
          <w:rFonts w:ascii="Calibri" w:cs="Calibri" w:eastAsia="Calibri" w:hAnsi="Calibri"/>
          <w:b/>
          <w:bCs/>
          <w:color w:val="333333"/>
          <w:sz w:val="22"/>
          <w:szCs w:val="22"/>
        </w:rPr>
        <w:t xml:space="preserve">6. </w:t>
      </w:r>
      <w:r>
        <w:rPr>
          <w:rFonts w:ascii="Calibri" w:cs="Calibri" w:eastAsia="Calibri" w:hAnsi="Calibri"/>
          <w:color w:val="333333"/>
          <w:sz w:val="22"/>
          <w:szCs w:val="22"/>
        </w:rPr>
        <w:t xml:space="preserve">Data migration will follow a regional sequence aligned with the deployment timeline (NA → EMEA → APAC → LATAM)</w:t>
      </w:r>
    </w:p>
    <w:p>
      <w:pPr>
        <w:spacing w:after="60" w:line="276"/>
      </w:pPr>
      <w:r>
        <w:rPr>
          <w:rFonts w:ascii="Calibri" w:cs="Calibri" w:eastAsia="Calibri" w:hAnsi="Calibri"/>
          <w:b/>
          <w:bCs/>
          <w:color w:val="333333"/>
          <w:sz w:val="22"/>
          <w:szCs w:val="22"/>
        </w:rPr>
        <w:t xml:space="preserve">7. </w:t>
      </w:r>
      <w:r>
        <w:rPr>
          <w:rFonts w:ascii="Calibri" w:cs="Calibri" w:eastAsia="Calibri" w:hAnsi="Calibri"/>
          <w:color w:val="333333"/>
          <w:sz w:val="22"/>
          <w:szCs w:val="22"/>
        </w:rPr>
        <w:t xml:space="preserve">Acme Corp's procurement portal will be used for all formal communications and deliverable submissions</w:t>
      </w:r>
    </w:p>
    <w:p>
      <w:pPr>
        <w:shd w:fill="FFF9E0" w:val="clear"/>
        <w:spacing w:after="120" w:line="276"/>
      </w:pPr>
      <w:r>
        <w:rPr>
          <w:rFonts w:ascii="Calibri" w:cs="Calibri" w:eastAsia="Calibri" w:hAnsi="Calibri"/>
          <w:b w:val="false"/>
          <w:bCs w:val="false"/>
          <w:color w:val="996600"/>
          <w:sz w:val="22"/>
          <w:szCs w:val="22"/>
        </w:rPr>
        <w:t xml:space="preserve">[SUGGESTED: Add any additional assumptions based on your specific solution approach]</w:t>
      </w:r>
    </w:p>
    <w:p>
      <w:pPr>
        <w:pStyle w:val="Heading1"/>
        <w:spacing w:after="200" w:before="400"/>
      </w:pPr>
      <w:r>
        <w:rPr>
          <w:rFonts w:ascii="Calibri" w:cs="Calibri" w:eastAsia="Calibri" w:hAnsi="Calibri"/>
          <w:b/>
          <w:bCs/>
          <w:color w:val="1B3A5C"/>
          <w:sz w:val="36"/>
          <w:szCs w:val="36"/>
        </w:rPr>
        <w:t xml:space="preserve">4. Technical Approach</w:t>
      </w:r>
    </w:p>
    <w:p>
      <w:pPr>
        <w:pStyle w:val="Heading2"/>
        <w:spacing w:after="160"/>
      </w:pPr>
      <w:r>
        <w:rPr>
          <w:rFonts w:ascii="Calibri" w:cs="Calibri" w:eastAsia="Calibri" w:hAnsi="Calibri"/>
          <w:b/>
          <w:bCs/>
          <w:color w:val="1B3A5C"/>
          <w:sz w:val="28"/>
          <w:szCs w:val="28"/>
        </w:rPr>
        <w:t xml:space="preserve">Solution Architecture</w:t>
      </w:r>
    </w:p>
    <w:p>
      <w:pPr>
        <w:spacing w:after="120" w:line="276"/>
      </w:pPr>
      <w:r>
        <w:rPr>
          <w:rFonts w:ascii="Calibri" w:cs="Calibri" w:eastAsia="Calibri" w:hAnsi="Calibri"/>
          <w:color w:val="333333"/>
          <w:sz w:val="22"/>
          <w:szCs w:val="22"/>
        </w:rPr>
        <w:t xml:space="preserve">Our proposed architecture is a cloud-native, multi-tenant platform designed to meet Acme Corp's requirements for 99.9% availability, sub-3-second page loads, and support for 4,200+ concurrent users with horizontal scalability for 50% growth over 5 years (REQ-NFR-001 through REQ-NFR-004).</w:t>
      </w:r>
    </w:p>
    <w:p>
      <w:pPr>
        <w:shd w:fill="FFE0E0" w:val="clear"/>
        <w:spacing w:after="120" w:line="276"/>
      </w:pPr>
      <w:r>
        <w:rPr>
          <w:rFonts w:ascii="Calibri" w:cs="Calibri" w:eastAsia="Calibri" w:hAnsi="Calibri"/>
          <w:b/>
          <w:bCs/>
          <w:color w:val="CC0000"/>
          <w:sz w:val="22"/>
          <w:szCs w:val="22"/>
        </w:rPr>
        <w:t xml:space="preserve">[REQUIRED: Architecture diagram showing platform components, integration points, data flow, and security layers]</w:t>
      </w:r>
    </w:p>
    <w:p>
      <w:pPr>
        <w:pStyle w:val="Heading2"/>
        <w:spacing w:after="160"/>
      </w:pPr>
      <w:r>
        <w:rPr>
          <w:rFonts w:ascii="Calibri" w:cs="Calibri" w:eastAsia="Calibri" w:hAnsi="Calibri"/>
          <w:b/>
          <w:bCs/>
          <w:color w:val="1B3A5C"/>
          <w:sz w:val="28"/>
          <w:szCs w:val="28"/>
        </w:rPr>
        <w:t xml:space="preserve">Requirements Coverage</w:t>
      </w:r>
    </w:p>
    <w:p>
      <w:pPr>
        <w:spacing w:after="120" w:line="276"/>
      </w:pPr>
      <w:r>
        <w:rPr>
          <w:rFonts w:ascii="Calibri" w:cs="Calibri" w:eastAsia="Calibri" w:hAnsi="Calibri"/>
          <w:color w:val="333333"/>
          <w:sz w:val="22"/>
          <w:szCs w:val="22"/>
        </w:rPr>
        <w:t xml:space="preserve">Our platform addresses all 155 requirements specified in Section 3 of the RFP. The following table summarizes coverage by category: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c>
          <w:tcPr>
            <w:tcW w:type="dxa" w:w="1872"/>
            <w:shd w:fill="1B3A5C" w:val="clear"/>
          </w:tcPr>
          <w:p>
            <w:pPr>
              <w:jc w:val="center"/>
            </w:pPr>
            <w:r>
              <w:rPr>
                <w:rFonts w:ascii="Calibri" w:cs="Calibri" w:eastAsia="Calibri" w:hAnsi="Calibri"/>
                <w:b/>
                <w:bCs/>
                <w:color w:val="FFFFFF"/>
                <w:sz w:val="20"/>
                <w:szCs w:val="20"/>
              </w:rPr>
              <w:t xml:space="preserve">Requirement Category</w:t>
            </w:r>
          </w:p>
        </w:tc>
        <w:tc>
          <w:tcPr>
            <w:tcW w:type="dxa" w:w="1872"/>
            <w:shd w:fill="1B3A5C" w:val="clear"/>
          </w:tcPr>
          <w:p>
            <w:pPr>
              <w:jc w:val="center"/>
            </w:pPr>
            <w:r>
              <w:rPr>
                <w:rFonts w:ascii="Calibri" w:cs="Calibri" w:eastAsia="Calibri" w:hAnsi="Calibri"/>
                <w:b/>
                <w:bCs/>
                <w:color w:val="FFFFFF"/>
                <w:sz w:val="20"/>
                <w:szCs w:val="20"/>
              </w:rPr>
              <w:t xml:space="preserve">Total</w:t>
            </w:r>
          </w:p>
        </w:tc>
        <w:tc>
          <w:tcPr>
            <w:tcW w:type="dxa" w:w="1872"/>
            <w:shd w:fill="1B3A5C" w:val="clear"/>
          </w:tcPr>
          <w:p>
            <w:pPr>
              <w:jc w:val="center"/>
            </w:pPr>
            <w:r>
              <w:rPr>
                <w:rFonts w:ascii="Calibri" w:cs="Calibri" w:eastAsia="Calibri" w:hAnsi="Calibri"/>
                <w:b/>
                <w:bCs/>
                <w:color w:val="FFFFFF"/>
                <w:sz w:val="20"/>
                <w:szCs w:val="20"/>
              </w:rPr>
              <w:t xml:space="preserve">Must-Have</w:t>
            </w:r>
          </w:p>
        </w:tc>
        <w:tc>
          <w:tcPr>
            <w:tcW w:type="dxa" w:w="1872"/>
            <w:shd w:fill="1B3A5C" w:val="clear"/>
          </w:tcPr>
          <w:p>
            <w:pPr>
              <w:jc w:val="center"/>
            </w:pPr>
            <w:r>
              <w:rPr>
                <w:rFonts w:ascii="Calibri" w:cs="Calibri" w:eastAsia="Calibri" w:hAnsi="Calibri"/>
                <w:b/>
                <w:bCs/>
                <w:color w:val="FFFFFF"/>
                <w:sz w:val="20"/>
                <w:szCs w:val="20"/>
              </w:rPr>
              <w:t xml:space="preserve">Nice-to-Have</w:t>
            </w:r>
          </w:p>
        </w:tc>
        <w:tc>
          <w:tcPr>
            <w:tcW w:type="dxa" w:w="1872"/>
            <w:shd w:fill="1B3A5C" w:val="clear"/>
          </w:tcPr>
          <w:p>
            <w:pPr>
              <w:jc w:val="center"/>
            </w:pPr>
            <w:r>
              <w:rPr>
                <w:rFonts w:ascii="Calibri" w:cs="Calibri" w:eastAsia="Calibri" w:hAnsi="Calibri"/>
                <w:b/>
                <w:bCs/>
                <w:color w:val="FFFFFF"/>
                <w:sz w:val="20"/>
                <w:szCs w:val="20"/>
              </w:rPr>
              <w:t xml:space="preserve">Our Coverage</w:t>
            </w:r>
          </w:p>
        </w:tc>
      </w:tr>
      <w:tr>
        <w:tc>
          <w:tcPr>
            <w:tcW w:type="dxa" w:w="1872"/>
          </w:tcPr>
          <w:p>
            <w:pPr>
              <w:jc w:val="left"/>
            </w:pPr>
            <w:r>
              <w:rPr>
                <w:rFonts w:ascii="Calibri" w:cs="Calibri" w:eastAsia="Calibri" w:hAnsi="Calibri"/>
                <w:b w:val="false"/>
                <w:bCs w:val="false"/>
                <w:color w:val="333333"/>
                <w:sz w:val="20"/>
                <w:szCs w:val="20"/>
              </w:rPr>
              <w:t xml:space="preserve">Sales Force Automation (REQ-SFA)</w:t>
            </w:r>
          </w:p>
        </w:tc>
        <w:tc>
          <w:tcPr>
            <w:tcW w:type="dxa" w:w="1872"/>
          </w:tcPr>
          <w:p>
            <w:pPr>
              <w:jc w:val="left"/>
            </w:pPr>
            <w:r>
              <w:rPr>
                <w:rFonts w:ascii="Calibri" w:cs="Calibri" w:eastAsia="Calibri" w:hAnsi="Calibri"/>
                <w:b w:val="false"/>
                <w:bCs w:val="false"/>
                <w:color w:val="333333"/>
                <w:sz w:val="20"/>
                <w:szCs w:val="20"/>
              </w:rPr>
              <w:t xml:space="preserve">30</w:t>
            </w:r>
          </w:p>
        </w:tc>
        <w:tc>
          <w:tcPr>
            <w:tcW w:type="dxa" w:w="1872"/>
          </w:tcPr>
          <w:p>
            <w:pPr>
              <w:jc w:val="left"/>
            </w:pPr>
            <w:r>
              <w:rPr>
                <w:rFonts w:ascii="Calibri" w:cs="Calibri" w:eastAsia="Calibri" w:hAnsi="Calibri"/>
                <w:b w:val="false"/>
                <w:bCs w:val="false"/>
                <w:color w:val="333333"/>
                <w:sz w:val="20"/>
                <w:szCs w:val="20"/>
              </w:rPr>
              <w:t xml:space="preserve">22</w:t>
            </w:r>
          </w:p>
        </w:tc>
        <w:tc>
          <w:tcPr>
            <w:tcW w:type="dxa" w:w="1872"/>
          </w:tcPr>
          <w:p>
            <w:pPr>
              <w:jc w:val="left"/>
            </w:pPr>
            <w:r>
              <w:rPr>
                <w:rFonts w:ascii="Calibri" w:cs="Calibri" w:eastAsia="Calibri" w:hAnsi="Calibri"/>
                <w:b w:val="false"/>
                <w:bCs w:val="false"/>
                <w:color w:val="333333"/>
                <w:sz w:val="20"/>
                <w:szCs w:val="20"/>
              </w:rPr>
              <w:t xml:space="preserve">8</w:t>
            </w:r>
          </w:p>
        </w:tc>
        <w:tc>
          <w:tcPr>
            <w:tcW w:type="dxa" w:w="1872"/>
          </w:tcPr>
          <w:p>
            <w:pPr>
              <w:jc w:val="left"/>
            </w:pPr>
            <w:r>
              <w:rPr>
                <w:rFonts w:ascii="Calibri" w:cs="Calibri" w:eastAsia="Calibri" w:hAnsi="Calibri"/>
                <w:b w:val="false"/>
                <w:bCs w:val="false"/>
                <w:color w:val="333333"/>
                <w:sz w:val="20"/>
                <w:szCs w:val="20"/>
              </w:rPr>
              <w:t xml:space="preserve">30/30 (100%)</w:t>
            </w:r>
          </w:p>
        </w:tc>
      </w:tr>
      <w:tr>
        <w:tc>
          <w:tcPr>
            <w:tcW w:type="dxa" w:w="1872"/>
            <w:shd w:fill="F5F5F5" w:val="clear"/>
          </w:tcPr>
          <w:p>
            <w:pPr>
              <w:jc w:val="left"/>
            </w:pPr>
            <w:r>
              <w:rPr>
                <w:rFonts w:ascii="Calibri" w:cs="Calibri" w:eastAsia="Calibri" w:hAnsi="Calibri"/>
                <w:b w:val="false"/>
                <w:bCs w:val="false"/>
                <w:color w:val="333333"/>
                <w:sz w:val="20"/>
                <w:szCs w:val="20"/>
              </w:rPr>
              <w:t xml:space="preserve">Marketing Automation (REQ-MA)</w:t>
            </w:r>
          </w:p>
        </w:tc>
        <w:tc>
          <w:tcPr>
            <w:tcW w:type="dxa" w:w="1872"/>
            <w:shd w:fill="F5F5F5" w:val="clear"/>
          </w:tcPr>
          <w:p>
            <w:pPr>
              <w:jc w:val="left"/>
            </w:pPr>
            <w:r>
              <w:rPr>
                <w:rFonts w:ascii="Calibri" w:cs="Calibri" w:eastAsia="Calibri" w:hAnsi="Calibri"/>
                <w:b w:val="false"/>
                <w:bCs w:val="false"/>
                <w:color w:val="333333"/>
                <w:sz w:val="20"/>
                <w:szCs w:val="20"/>
              </w:rPr>
              <w:t xml:space="preserve">25</w:t>
            </w:r>
          </w:p>
        </w:tc>
        <w:tc>
          <w:tcPr>
            <w:tcW w:type="dxa" w:w="1872"/>
            <w:shd w:fill="F5F5F5" w:val="clear"/>
          </w:tcPr>
          <w:p>
            <w:pPr>
              <w:jc w:val="left"/>
            </w:pPr>
            <w:r>
              <w:rPr>
                <w:rFonts w:ascii="Calibri" w:cs="Calibri" w:eastAsia="Calibri" w:hAnsi="Calibri"/>
                <w:b w:val="false"/>
                <w:bCs w:val="false"/>
                <w:color w:val="333333"/>
                <w:sz w:val="20"/>
                <w:szCs w:val="20"/>
              </w:rPr>
              <w:t xml:space="preserve">19</w:t>
            </w:r>
          </w:p>
        </w:tc>
        <w:tc>
          <w:tcPr>
            <w:tcW w:type="dxa" w:w="1872"/>
            <w:shd w:fill="F5F5F5" w:val="clear"/>
          </w:tcPr>
          <w:p>
            <w:pPr>
              <w:jc w:val="left"/>
            </w:pPr>
            <w:r>
              <w:rPr>
                <w:rFonts w:ascii="Calibri" w:cs="Calibri" w:eastAsia="Calibri" w:hAnsi="Calibri"/>
                <w:b w:val="false"/>
                <w:bCs w:val="false"/>
                <w:color w:val="333333"/>
                <w:sz w:val="20"/>
                <w:szCs w:val="20"/>
              </w:rPr>
              <w:t xml:space="preserve">6</w:t>
            </w:r>
          </w:p>
        </w:tc>
        <w:tc>
          <w:tcPr>
            <w:tcW w:type="dxa" w:w="1872"/>
            <w:shd w:fill="F5F5F5" w:val="clear"/>
          </w:tcPr>
          <w:p>
            <w:pPr>
              <w:jc w:val="left"/>
            </w:pPr>
            <w:r>
              <w:rPr>
                <w:rFonts w:ascii="Calibri" w:cs="Calibri" w:eastAsia="Calibri" w:hAnsi="Calibri"/>
                <w:b w:val="false"/>
                <w:bCs w:val="false"/>
                <w:color w:val="333333"/>
                <w:sz w:val="20"/>
                <w:szCs w:val="20"/>
              </w:rPr>
              <w:t xml:space="preserve">25/25 (100%)</w:t>
            </w:r>
          </w:p>
        </w:tc>
      </w:tr>
      <w:tr>
        <w:tc>
          <w:tcPr>
            <w:tcW w:type="dxa" w:w="1872"/>
          </w:tcPr>
          <w:p>
            <w:pPr>
              <w:jc w:val="left"/>
            </w:pPr>
            <w:r>
              <w:rPr>
                <w:rFonts w:ascii="Calibri" w:cs="Calibri" w:eastAsia="Calibri" w:hAnsi="Calibri"/>
                <w:b w:val="false"/>
                <w:bCs w:val="false"/>
                <w:color w:val="333333"/>
                <w:sz w:val="20"/>
                <w:szCs w:val="20"/>
              </w:rPr>
              <w:t xml:space="preserve">Customer Service (REQ-CS)</w:t>
            </w:r>
          </w:p>
        </w:tc>
        <w:tc>
          <w:tcPr>
            <w:tcW w:type="dxa" w:w="1872"/>
          </w:tcPr>
          <w:p>
            <w:pPr>
              <w:jc w:val="left"/>
            </w:pPr>
            <w:r>
              <w:rPr>
                <w:rFonts w:ascii="Calibri" w:cs="Calibri" w:eastAsia="Calibri" w:hAnsi="Calibri"/>
                <w:b w:val="false"/>
                <w:bCs w:val="false"/>
                <w:color w:val="333333"/>
                <w:sz w:val="20"/>
                <w:szCs w:val="20"/>
              </w:rPr>
              <w:t xml:space="preserve">25</w:t>
            </w:r>
          </w:p>
        </w:tc>
        <w:tc>
          <w:tcPr>
            <w:tcW w:type="dxa" w:w="1872"/>
          </w:tcPr>
          <w:p>
            <w:pPr>
              <w:jc w:val="left"/>
            </w:pPr>
            <w:r>
              <w:rPr>
                <w:rFonts w:ascii="Calibri" w:cs="Calibri" w:eastAsia="Calibri" w:hAnsi="Calibri"/>
                <w:b w:val="false"/>
                <w:bCs w:val="false"/>
                <w:color w:val="333333"/>
                <w:sz w:val="20"/>
                <w:szCs w:val="20"/>
              </w:rPr>
              <w:t xml:space="preserve">17</w:t>
            </w:r>
          </w:p>
        </w:tc>
        <w:tc>
          <w:tcPr>
            <w:tcW w:type="dxa" w:w="1872"/>
          </w:tcPr>
          <w:p>
            <w:pPr>
              <w:jc w:val="left"/>
            </w:pPr>
            <w:r>
              <w:rPr>
                <w:rFonts w:ascii="Calibri" w:cs="Calibri" w:eastAsia="Calibri" w:hAnsi="Calibri"/>
                <w:b w:val="false"/>
                <w:bCs w:val="false"/>
                <w:color w:val="333333"/>
                <w:sz w:val="20"/>
                <w:szCs w:val="20"/>
              </w:rPr>
              <w:t xml:space="preserve">8</w:t>
            </w:r>
          </w:p>
        </w:tc>
        <w:tc>
          <w:tcPr>
            <w:tcW w:type="dxa" w:w="1872"/>
          </w:tcPr>
          <w:p>
            <w:pPr>
              <w:jc w:val="left"/>
            </w:pPr>
            <w:r>
              <w:rPr>
                <w:rFonts w:ascii="Calibri" w:cs="Calibri" w:eastAsia="Calibri" w:hAnsi="Calibri"/>
                <w:b w:val="false"/>
                <w:bCs w:val="false"/>
                <w:color w:val="333333"/>
                <w:sz w:val="20"/>
                <w:szCs w:val="20"/>
              </w:rPr>
              <w:t xml:space="preserve">25/25 (100%)</w:t>
            </w:r>
          </w:p>
        </w:tc>
      </w:tr>
      <w:tr>
        <w:tc>
          <w:tcPr>
            <w:tcW w:type="dxa" w:w="1872"/>
            <w:shd w:fill="F5F5F5" w:val="clear"/>
          </w:tcPr>
          <w:p>
            <w:pPr>
              <w:jc w:val="left"/>
            </w:pPr>
            <w:r>
              <w:rPr>
                <w:rFonts w:ascii="Calibri" w:cs="Calibri" w:eastAsia="Calibri" w:hAnsi="Calibri"/>
                <w:b w:val="false"/>
                <w:bCs w:val="false"/>
                <w:color w:val="333333"/>
                <w:sz w:val="20"/>
                <w:szCs w:val="20"/>
              </w:rPr>
              <w:t xml:space="preserve">Analytics &amp; Reporting (REQ-AR)</w:t>
            </w:r>
          </w:p>
        </w:tc>
        <w:tc>
          <w:tcPr>
            <w:tcW w:type="dxa" w:w="1872"/>
            <w:shd w:fill="F5F5F5" w:val="clear"/>
          </w:tcPr>
          <w:p>
            <w:pPr>
              <w:jc w:val="left"/>
            </w:pPr>
            <w:r>
              <w:rPr>
                <w:rFonts w:ascii="Calibri" w:cs="Calibri" w:eastAsia="Calibri" w:hAnsi="Calibri"/>
                <w:b w:val="false"/>
                <w:bCs w:val="false"/>
                <w:color w:val="333333"/>
                <w:sz w:val="20"/>
                <w:szCs w:val="20"/>
              </w:rPr>
              <w:t xml:space="preserve">20</w:t>
            </w:r>
          </w:p>
        </w:tc>
        <w:tc>
          <w:tcPr>
            <w:tcW w:type="dxa" w:w="1872"/>
            <w:shd w:fill="F5F5F5" w:val="clear"/>
          </w:tcPr>
          <w:p>
            <w:pPr>
              <w:jc w:val="left"/>
            </w:pPr>
            <w:r>
              <w:rPr>
                <w:rFonts w:ascii="Calibri" w:cs="Calibri" w:eastAsia="Calibri" w:hAnsi="Calibri"/>
                <w:b w:val="false"/>
                <w:bCs w:val="false"/>
                <w:color w:val="333333"/>
                <w:sz w:val="20"/>
                <w:szCs w:val="20"/>
              </w:rPr>
              <w:t xml:space="preserve">15</w:t>
            </w:r>
          </w:p>
        </w:tc>
        <w:tc>
          <w:tcPr>
            <w:tcW w:type="dxa" w:w="1872"/>
            <w:shd w:fill="F5F5F5" w:val="clear"/>
          </w:tcPr>
          <w:p>
            <w:pPr>
              <w:jc w:val="left"/>
            </w:pPr>
            <w:r>
              <w:rPr>
                <w:rFonts w:ascii="Calibri" w:cs="Calibri" w:eastAsia="Calibri" w:hAnsi="Calibri"/>
                <w:b w:val="false"/>
                <w:bCs w:val="false"/>
                <w:color w:val="333333"/>
                <w:sz w:val="20"/>
                <w:szCs w:val="20"/>
              </w:rPr>
              <w:t xml:space="preserve">5</w:t>
            </w:r>
          </w:p>
        </w:tc>
        <w:tc>
          <w:tcPr>
            <w:tcW w:type="dxa" w:w="1872"/>
            <w:shd w:fill="F5F5F5" w:val="clear"/>
          </w:tcPr>
          <w:p>
            <w:pPr>
              <w:jc w:val="left"/>
            </w:pPr>
            <w:r>
              <w:rPr>
                <w:rFonts w:ascii="Calibri" w:cs="Calibri" w:eastAsia="Calibri" w:hAnsi="Calibri"/>
                <w:b w:val="false"/>
                <w:bCs w:val="false"/>
                <w:color w:val="333333"/>
                <w:sz w:val="20"/>
                <w:szCs w:val="20"/>
              </w:rPr>
              <w:t xml:space="preserve">20/20 (100%)</w:t>
            </w:r>
          </w:p>
        </w:tc>
      </w:tr>
      <w:tr>
        <w:tc>
          <w:tcPr>
            <w:tcW w:type="dxa" w:w="1872"/>
          </w:tcPr>
          <w:p>
            <w:pPr>
              <w:jc w:val="left"/>
            </w:pPr>
            <w:r>
              <w:rPr>
                <w:rFonts w:ascii="Calibri" w:cs="Calibri" w:eastAsia="Calibri" w:hAnsi="Calibri"/>
                <w:b w:val="false"/>
                <w:bCs w:val="false"/>
                <w:color w:val="333333"/>
                <w:sz w:val="20"/>
                <w:szCs w:val="20"/>
              </w:rPr>
              <w:t xml:space="preserve">Mobile Access (REQ-MOB)</w:t>
            </w:r>
          </w:p>
        </w:tc>
        <w:tc>
          <w:tcPr>
            <w:tcW w:type="dxa" w:w="1872"/>
          </w:tcPr>
          <w:p>
            <w:pPr>
              <w:jc w:val="left"/>
            </w:pPr>
            <w:r>
              <w:rPr>
                <w:rFonts w:ascii="Calibri" w:cs="Calibri" w:eastAsia="Calibri" w:hAnsi="Calibri"/>
                <w:b w:val="false"/>
                <w:bCs w:val="false"/>
                <w:color w:val="333333"/>
                <w:sz w:val="20"/>
                <w:szCs w:val="20"/>
              </w:rPr>
              <w:t xml:space="preserve">15</w:t>
            </w:r>
          </w:p>
        </w:tc>
        <w:tc>
          <w:tcPr>
            <w:tcW w:type="dxa" w:w="1872"/>
          </w:tcPr>
          <w:p>
            <w:pPr>
              <w:jc w:val="left"/>
            </w:pPr>
            <w:r>
              <w:rPr>
                <w:rFonts w:ascii="Calibri" w:cs="Calibri" w:eastAsia="Calibri" w:hAnsi="Calibri"/>
                <w:b w:val="false"/>
                <w:bCs w:val="false"/>
                <w:color w:val="333333"/>
                <w:sz w:val="20"/>
                <w:szCs w:val="20"/>
              </w:rPr>
              <w:t xml:space="preserve">10</w:t>
            </w:r>
          </w:p>
        </w:tc>
        <w:tc>
          <w:tcPr>
            <w:tcW w:type="dxa" w:w="1872"/>
          </w:tcPr>
          <w:p>
            <w:pPr>
              <w:jc w:val="left"/>
            </w:pPr>
            <w:r>
              <w:rPr>
                <w:rFonts w:ascii="Calibri" w:cs="Calibri" w:eastAsia="Calibri" w:hAnsi="Calibri"/>
                <w:b w:val="false"/>
                <w:bCs w:val="false"/>
                <w:color w:val="333333"/>
                <w:sz w:val="20"/>
                <w:szCs w:val="20"/>
              </w:rPr>
              <w:t xml:space="preserve">5</w:t>
            </w:r>
          </w:p>
        </w:tc>
        <w:tc>
          <w:tcPr>
            <w:tcW w:type="dxa" w:w="1872"/>
          </w:tcPr>
          <w:p>
            <w:pPr>
              <w:jc w:val="left"/>
            </w:pPr>
            <w:r>
              <w:rPr>
                <w:rFonts w:ascii="Calibri" w:cs="Calibri" w:eastAsia="Calibri" w:hAnsi="Calibri"/>
                <w:b w:val="false"/>
                <w:bCs w:val="false"/>
                <w:color w:val="333333"/>
                <w:sz w:val="20"/>
                <w:szCs w:val="20"/>
              </w:rPr>
              <w:t xml:space="preserve">15/15 (100%)</w:t>
            </w:r>
          </w:p>
        </w:tc>
      </w:tr>
      <w:tr>
        <w:tc>
          <w:tcPr>
            <w:tcW w:type="dxa" w:w="1872"/>
            <w:shd w:fill="F5F5F5" w:val="clear"/>
          </w:tcPr>
          <w:p>
            <w:pPr>
              <w:jc w:val="left"/>
            </w:pPr>
            <w:r>
              <w:rPr>
                <w:rFonts w:ascii="Calibri" w:cs="Calibri" w:eastAsia="Calibri" w:hAnsi="Calibri"/>
                <w:b w:val="false"/>
                <w:bCs w:val="false"/>
                <w:color w:val="333333"/>
                <w:sz w:val="20"/>
                <w:szCs w:val="20"/>
              </w:rPr>
              <w:t xml:space="preserve">Non-Functional (REQ-NFR)</w:t>
            </w:r>
          </w:p>
        </w:tc>
        <w:tc>
          <w:tcPr>
            <w:tcW w:type="dxa" w:w="1872"/>
            <w:shd w:fill="F5F5F5" w:val="clear"/>
          </w:tcPr>
          <w:p>
            <w:pPr>
              <w:jc w:val="left"/>
            </w:pPr>
            <w:r>
              <w:rPr>
                <w:rFonts w:ascii="Calibri" w:cs="Calibri" w:eastAsia="Calibri" w:hAnsi="Calibri"/>
                <w:b w:val="false"/>
                <w:bCs w:val="false"/>
                <w:color w:val="333333"/>
                <w:sz w:val="20"/>
                <w:szCs w:val="20"/>
              </w:rPr>
              <w:t xml:space="preserve">20</w:t>
            </w:r>
          </w:p>
        </w:tc>
        <w:tc>
          <w:tcPr>
            <w:tcW w:type="dxa" w:w="1872"/>
            <w:shd w:fill="F5F5F5" w:val="clear"/>
          </w:tcPr>
          <w:p>
            <w:pPr>
              <w:jc w:val="left"/>
            </w:pPr>
            <w:r>
              <w:rPr>
                <w:rFonts w:ascii="Calibri" w:cs="Calibri" w:eastAsia="Calibri" w:hAnsi="Calibri"/>
                <w:b w:val="false"/>
                <w:bCs w:val="false"/>
                <w:color w:val="333333"/>
                <w:sz w:val="20"/>
                <w:szCs w:val="20"/>
              </w:rPr>
              <w:t xml:space="preserve">20</w:t>
            </w:r>
          </w:p>
        </w:tc>
        <w:tc>
          <w:tcPr>
            <w:tcW w:type="dxa" w:w="1872"/>
            <w:shd w:fill="F5F5F5" w:val="clear"/>
          </w:tcPr>
          <w:p>
            <w:pPr>
              <w:jc w:val="left"/>
            </w:pPr>
            <w:r>
              <w:rPr>
                <w:rFonts w:ascii="Calibri" w:cs="Calibri" w:eastAsia="Calibri" w:hAnsi="Calibri"/>
                <w:b w:val="false"/>
                <w:bCs w:val="false"/>
                <w:color w:val="333333"/>
                <w:sz w:val="20"/>
                <w:szCs w:val="20"/>
              </w:rPr>
              <w:t xml:space="preserve">0</w:t>
            </w:r>
          </w:p>
        </w:tc>
        <w:tc>
          <w:tcPr>
            <w:tcW w:type="dxa" w:w="1872"/>
            <w:shd w:fill="F5F5F5" w:val="clear"/>
          </w:tcPr>
          <w:p>
            <w:pPr>
              <w:jc w:val="left"/>
            </w:pPr>
            <w:r>
              <w:rPr>
                <w:rFonts w:ascii="Calibri" w:cs="Calibri" w:eastAsia="Calibri" w:hAnsi="Calibri"/>
                <w:b w:val="false"/>
                <w:bCs w:val="false"/>
                <w:color w:val="333333"/>
                <w:sz w:val="20"/>
                <w:szCs w:val="20"/>
              </w:rPr>
              <w:t xml:space="preserve">20/20 (100%)</w:t>
            </w:r>
          </w:p>
        </w:tc>
      </w:tr>
      <w:tr>
        <w:tc>
          <w:tcPr>
            <w:tcW w:type="dxa" w:w="1872"/>
          </w:tcPr>
          <w:p>
            <w:pPr>
              <w:jc w:val="left"/>
            </w:pPr>
            <w:r>
              <w:rPr>
                <w:rFonts w:ascii="Calibri" w:cs="Calibri" w:eastAsia="Calibri" w:hAnsi="Calibri"/>
                <w:b w:val="false"/>
                <w:bCs w:val="false"/>
                <w:color w:val="333333"/>
                <w:sz w:val="20"/>
                <w:szCs w:val="20"/>
              </w:rPr>
              <w:t xml:space="preserve">Integration &amp; API (REQ-INT)</w:t>
            </w:r>
          </w:p>
        </w:tc>
        <w:tc>
          <w:tcPr>
            <w:tcW w:type="dxa" w:w="1872"/>
          </w:tcPr>
          <w:p>
            <w:pPr>
              <w:jc w:val="left"/>
            </w:pPr>
            <w:r>
              <w:rPr>
                <w:rFonts w:ascii="Calibri" w:cs="Calibri" w:eastAsia="Calibri" w:hAnsi="Calibri"/>
                <w:b w:val="false"/>
                <w:bCs w:val="false"/>
                <w:color w:val="333333"/>
                <w:sz w:val="20"/>
                <w:szCs w:val="20"/>
              </w:rPr>
              <w:t xml:space="preserve">15</w:t>
            </w:r>
          </w:p>
        </w:tc>
        <w:tc>
          <w:tcPr>
            <w:tcW w:type="dxa" w:w="1872"/>
          </w:tcPr>
          <w:p>
            <w:pPr>
              <w:jc w:val="left"/>
            </w:pPr>
            <w:r>
              <w:rPr>
                <w:rFonts w:ascii="Calibri" w:cs="Calibri" w:eastAsia="Calibri" w:hAnsi="Calibri"/>
                <w:b w:val="false"/>
                <w:bCs w:val="false"/>
                <w:color w:val="333333"/>
                <w:sz w:val="20"/>
                <w:szCs w:val="20"/>
              </w:rPr>
              <w:t xml:space="preserve">15</w:t>
            </w:r>
          </w:p>
        </w:tc>
        <w:tc>
          <w:tcPr>
            <w:tcW w:type="dxa" w:w="1872"/>
          </w:tcPr>
          <w:p>
            <w:pPr>
              <w:jc w:val="left"/>
            </w:pPr>
            <w:r>
              <w:rPr>
                <w:rFonts w:ascii="Calibri" w:cs="Calibri" w:eastAsia="Calibri" w:hAnsi="Calibri"/>
                <w:b w:val="false"/>
                <w:bCs w:val="false"/>
                <w:color w:val="333333"/>
                <w:sz w:val="20"/>
                <w:szCs w:val="20"/>
              </w:rPr>
              <w:t xml:space="preserve">0</w:t>
            </w:r>
          </w:p>
        </w:tc>
        <w:tc>
          <w:tcPr>
            <w:tcW w:type="dxa" w:w="1872"/>
          </w:tcPr>
          <w:p>
            <w:pPr>
              <w:jc w:val="left"/>
            </w:pPr>
            <w:r>
              <w:rPr>
                <w:rFonts w:ascii="Calibri" w:cs="Calibri" w:eastAsia="Calibri" w:hAnsi="Calibri"/>
                <w:b w:val="false"/>
                <w:bCs w:val="false"/>
                <w:color w:val="333333"/>
                <w:sz w:val="20"/>
                <w:szCs w:val="20"/>
              </w:rPr>
              <w:t xml:space="preserve">15/15 (100%)</w:t>
            </w:r>
          </w:p>
        </w:tc>
      </w:tr>
    </w:tbl>
    <w:p>
      <w:pPr>
        <w:shd w:fill="FFF9E0" w:val="clear"/>
        <w:spacing w:after="120" w:line="276"/>
      </w:pPr>
      <w:r>
        <w:rPr>
          <w:rFonts w:ascii="Calibri" w:cs="Calibri" w:eastAsia="Calibri" w:hAnsi="Calibri"/>
          <w:b w:val="false"/>
          <w:bCs w:val="false"/>
          <w:color w:val="996600"/>
          <w:sz w:val="22"/>
          <w:szCs w:val="22"/>
        </w:rPr>
        <w:t xml:space="preserve">[SUGGESTED: Detailed requirement-by-requirement response matrix (can be placed in appendix if needed for page limits)]</w:t>
      </w:r>
    </w:p>
    <w:p>
      <w:pPr>
        <w:pStyle w:val="Heading2"/>
        <w:spacing w:after="160"/>
      </w:pPr>
      <w:r>
        <w:rPr>
          <w:rFonts w:ascii="Calibri" w:cs="Calibri" w:eastAsia="Calibri" w:hAnsi="Calibri"/>
          <w:b/>
          <w:bCs/>
          <w:color w:val="1B3A5C"/>
          <w:sz w:val="28"/>
          <w:szCs w:val="28"/>
        </w:rPr>
        <w:t xml:space="preserve">Integration Architecture</w:t>
      </w:r>
    </w:p>
    <w:p>
      <w:pPr>
        <w:spacing w:after="120" w:line="276"/>
      </w:pPr>
      <w:r>
        <w:rPr>
          <w:rFonts w:ascii="Calibri" w:cs="Calibri" w:eastAsia="Calibri" w:hAnsi="Calibri"/>
          <w:color w:val="333333"/>
          <w:sz w:val="22"/>
          <w:szCs w:val="22"/>
        </w:rPr>
        <w:t xml:space="preserve">We will deliver all 10 mandatory integrations specified in Section 2.4 of the RFP using a combination of native connectors, middleware (MuleSoft/Dell Boomi as specified in REQ-INT-008), and custom API development: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shd w:fill="1B3A5C" w:val="clear"/>
          </w:tcPr>
          <w:p>
            <w:pPr>
              <w:jc w:val="center"/>
            </w:pPr>
            <w:r>
              <w:rPr>
                <w:rFonts w:ascii="Calibri" w:cs="Calibri" w:eastAsia="Calibri" w:hAnsi="Calibri"/>
                <w:b/>
                <w:bCs/>
                <w:color w:val="FFFFFF"/>
                <w:sz w:val="20"/>
                <w:szCs w:val="20"/>
              </w:rPr>
              <w:t xml:space="preserve">System</w:t>
            </w:r>
          </w:p>
        </w:tc>
        <w:tc>
          <w:tcPr>
            <w:tcW w:type="dxa" w:w="3120"/>
            <w:shd w:fill="1B3A5C" w:val="clear"/>
          </w:tcPr>
          <w:p>
            <w:pPr>
              <w:jc w:val="center"/>
            </w:pPr>
            <w:r>
              <w:rPr>
                <w:rFonts w:ascii="Calibri" w:cs="Calibri" w:eastAsia="Calibri" w:hAnsi="Calibri"/>
                <w:b/>
                <w:bCs/>
                <w:color w:val="FFFFFF"/>
                <w:sz w:val="20"/>
                <w:szCs w:val="20"/>
              </w:rPr>
              <w:t xml:space="preserve">Pattern</w:t>
            </w:r>
          </w:p>
        </w:tc>
        <w:tc>
          <w:tcPr>
            <w:tcW w:type="dxa" w:w="3120"/>
            <w:shd w:fill="1B3A5C" w:val="clear"/>
          </w:tcPr>
          <w:p>
            <w:pPr>
              <w:jc w:val="center"/>
            </w:pPr>
            <w:r>
              <w:rPr>
                <w:rFonts w:ascii="Calibri" w:cs="Calibri" w:eastAsia="Calibri" w:hAnsi="Calibri"/>
                <w:b/>
                <w:bCs/>
                <w:color w:val="FFFFFF"/>
                <w:sz w:val="20"/>
                <w:szCs w:val="20"/>
              </w:rPr>
              <w:t xml:space="preserve">Approach</w:t>
            </w:r>
          </w:p>
        </w:tc>
      </w:tr>
      <w:tr>
        <w:tc>
          <w:tcPr>
            <w:tcW w:type="dxa" w:w="3120"/>
          </w:tcPr>
          <w:p>
            <w:pPr>
              <w:jc w:val="left"/>
            </w:pPr>
            <w:r>
              <w:rPr>
                <w:rFonts w:ascii="Calibri" w:cs="Calibri" w:eastAsia="Calibri" w:hAnsi="Calibri"/>
                <w:b w:val="false"/>
                <w:bCs w:val="false"/>
                <w:color w:val="333333"/>
                <w:sz w:val="20"/>
                <w:szCs w:val="20"/>
              </w:rPr>
              <w:t xml:space="preserve">SAP S/4HANA</w:t>
            </w:r>
          </w:p>
        </w:tc>
        <w:tc>
          <w:tcPr>
            <w:tcW w:type="dxa" w:w="3120"/>
          </w:tcPr>
          <w:p>
            <w:pPr>
              <w:jc w:val="left"/>
            </w:pPr>
            <w:r>
              <w:rPr>
                <w:rFonts w:ascii="Calibri" w:cs="Calibri" w:eastAsia="Calibri" w:hAnsi="Calibri"/>
                <w:b w:val="false"/>
                <w:bCs w:val="false"/>
                <w:color w:val="333333"/>
                <w:sz w:val="20"/>
                <w:szCs w:val="20"/>
              </w:rPr>
              <w:t xml:space="preserve">Bi-directional, real-time</w:t>
            </w:r>
          </w:p>
        </w:tc>
        <w:tc>
          <w:tcPr>
            <w:tcW w:type="dxa" w:w="3120"/>
          </w:tcPr>
          <w:p>
            <w:pPr>
              <w:jc w:val="left"/>
            </w:pPr>
            <w:r>
              <w:rPr>
                <w:rFonts w:ascii="Calibri" w:cs="Calibri" w:eastAsia="Calibri" w:hAnsi="Calibri"/>
                <w:b w:val="false"/>
                <w:bCs w:val="false"/>
                <w:color w:val="333333"/>
                <w:sz w:val="20"/>
                <w:szCs w:val="20"/>
              </w:rPr>
              <w:t xml:space="preserve">Native ERP connector + MuleSoft for custom objects</w:t>
            </w:r>
          </w:p>
        </w:tc>
      </w:tr>
      <w:tr>
        <w:tc>
          <w:tcPr>
            <w:tcW w:type="dxa" w:w="3120"/>
            <w:shd w:fill="F5F5F5" w:val="clear"/>
          </w:tcPr>
          <w:p>
            <w:pPr>
              <w:jc w:val="left"/>
            </w:pPr>
            <w:r>
              <w:rPr>
                <w:rFonts w:ascii="Calibri" w:cs="Calibri" w:eastAsia="Calibri" w:hAnsi="Calibri"/>
                <w:b w:val="false"/>
                <w:bCs w:val="false"/>
                <w:color w:val="333333"/>
                <w:sz w:val="20"/>
                <w:szCs w:val="20"/>
              </w:rPr>
              <w:t xml:space="preserve">Marketo Engage</w:t>
            </w:r>
          </w:p>
        </w:tc>
        <w:tc>
          <w:tcPr>
            <w:tcW w:type="dxa" w:w="3120"/>
            <w:shd w:fill="F5F5F5" w:val="clear"/>
          </w:tcPr>
          <w:p>
            <w:pPr>
              <w:jc w:val="left"/>
            </w:pPr>
            <w:r>
              <w:rPr>
                <w:rFonts w:ascii="Calibri" w:cs="Calibri" w:eastAsia="Calibri" w:hAnsi="Calibri"/>
                <w:b w:val="false"/>
                <w:bCs w:val="false"/>
                <w:color w:val="333333"/>
                <w:sz w:val="20"/>
                <w:szCs w:val="20"/>
              </w:rPr>
              <w:t xml:space="preserve">Bi-directional, near-real-time</w:t>
            </w:r>
          </w:p>
        </w:tc>
        <w:tc>
          <w:tcPr>
            <w:tcW w:type="dxa" w:w="3120"/>
            <w:shd w:fill="F5F5F5" w:val="clear"/>
          </w:tcPr>
          <w:p>
            <w:pPr>
              <w:jc w:val="left"/>
            </w:pPr>
            <w:r>
              <w:rPr>
                <w:rFonts w:ascii="Calibri" w:cs="Calibri" w:eastAsia="Calibri" w:hAnsi="Calibri"/>
                <w:b w:val="false"/>
                <w:bCs w:val="false"/>
                <w:color w:val="333333"/>
                <w:sz w:val="20"/>
                <w:szCs w:val="20"/>
              </w:rPr>
              <w:t xml:space="preserve">Native marketing connector with lead sync</w:t>
            </w:r>
          </w:p>
        </w:tc>
      </w:tr>
      <w:tr>
        <w:tc>
          <w:tcPr>
            <w:tcW w:type="dxa" w:w="3120"/>
          </w:tcPr>
          <w:p>
            <w:pPr>
              <w:jc w:val="left"/>
            </w:pPr>
            <w:r>
              <w:rPr>
                <w:rFonts w:ascii="Calibri" w:cs="Calibri" w:eastAsia="Calibri" w:hAnsi="Calibri"/>
                <w:b w:val="false"/>
                <w:bCs w:val="false"/>
                <w:color w:val="333333"/>
                <w:sz w:val="20"/>
                <w:szCs w:val="20"/>
              </w:rPr>
              <w:t xml:space="preserve">Shopify Plus</w:t>
            </w:r>
          </w:p>
        </w:tc>
        <w:tc>
          <w:tcPr>
            <w:tcW w:type="dxa" w:w="3120"/>
          </w:tcPr>
          <w:p>
            <w:pPr>
              <w:jc w:val="left"/>
            </w:pPr>
            <w:r>
              <w:rPr>
                <w:rFonts w:ascii="Calibri" w:cs="Calibri" w:eastAsia="Calibri" w:hAnsi="Calibri"/>
                <w:b w:val="false"/>
                <w:bCs w:val="false"/>
                <w:color w:val="333333"/>
                <w:sz w:val="20"/>
                <w:szCs w:val="20"/>
              </w:rPr>
              <w:t xml:space="preserve">Bi-directional, real-time</w:t>
            </w:r>
          </w:p>
        </w:tc>
        <w:tc>
          <w:tcPr>
            <w:tcW w:type="dxa" w:w="3120"/>
          </w:tcPr>
          <w:p>
            <w:pPr>
              <w:jc w:val="left"/>
            </w:pPr>
            <w:r>
              <w:rPr>
                <w:rFonts w:ascii="Calibri" w:cs="Calibri" w:eastAsia="Calibri" w:hAnsi="Calibri"/>
                <w:b w:val="false"/>
                <w:bCs w:val="false"/>
                <w:color w:val="333333"/>
                <w:sz w:val="20"/>
                <w:szCs w:val="20"/>
              </w:rPr>
              <w:t xml:space="preserve">REST API integration via middleware</w:t>
            </w:r>
          </w:p>
        </w:tc>
      </w:tr>
      <w:tr>
        <w:tc>
          <w:tcPr>
            <w:tcW w:type="dxa" w:w="3120"/>
            <w:shd w:fill="F5F5F5" w:val="clear"/>
          </w:tcPr>
          <w:p>
            <w:pPr>
              <w:jc w:val="left"/>
            </w:pPr>
            <w:r>
              <w:rPr>
                <w:rFonts w:ascii="Calibri" w:cs="Calibri" w:eastAsia="Calibri" w:hAnsi="Calibri"/>
                <w:b w:val="false"/>
                <w:bCs w:val="false"/>
                <w:color w:val="333333"/>
                <w:sz w:val="20"/>
                <w:szCs w:val="20"/>
              </w:rPr>
              <w:t xml:space="preserve">Microsoft 365</w:t>
            </w:r>
          </w:p>
        </w:tc>
        <w:tc>
          <w:tcPr>
            <w:tcW w:type="dxa" w:w="3120"/>
            <w:shd w:fill="F5F5F5" w:val="clear"/>
          </w:tcPr>
          <w:p>
            <w:pPr>
              <w:jc w:val="left"/>
            </w:pPr>
            <w:r>
              <w:rPr>
                <w:rFonts w:ascii="Calibri" w:cs="Calibri" w:eastAsia="Calibri" w:hAnsi="Calibri"/>
                <w:b w:val="false"/>
                <w:bCs w:val="false"/>
                <w:color w:val="333333"/>
                <w:sz w:val="20"/>
                <w:szCs w:val="20"/>
              </w:rPr>
              <w:t xml:space="preserve">Bi-directional</w:t>
            </w:r>
          </w:p>
        </w:tc>
        <w:tc>
          <w:tcPr>
            <w:tcW w:type="dxa" w:w="3120"/>
            <w:shd w:fill="F5F5F5" w:val="clear"/>
          </w:tcPr>
          <w:p>
            <w:pPr>
              <w:jc w:val="left"/>
            </w:pPr>
            <w:r>
              <w:rPr>
                <w:rFonts w:ascii="Calibri" w:cs="Calibri" w:eastAsia="Calibri" w:hAnsi="Calibri"/>
                <w:b w:val="false"/>
                <w:bCs w:val="false"/>
                <w:color w:val="333333"/>
                <w:sz w:val="20"/>
                <w:szCs w:val="20"/>
              </w:rPr>
              <w:t xml:space="preserve">Native connector (email, calendar, Teams)</w:t>
            </w:r>
          </w:p>
        </w:tc>
      </w:tr>
      <w:tr>
        <w:tc>
          <w:tcPr>
            <w:tcW w:type="dxa" w:w="3120"/>
          </w:tcPr>
          <w:p>
            <w:pPr>
              <w:jc w:val="left"/>
            </w:pPr>
            <w:r>
              <w:rPr>
                <w:rFonts w:ascii="Calibri" w:cs="Calibri" w:eastAsia="Calibri" w:hAnsi="Calibri"/>
                <w:b w:val="false"/>
                <w:bCs w:val="false"/>
                <w:color w:val="333333"/>
                <w:sz w:val="20"/>
                <w:szCs w:val="20"/>
              </w:rPr>
              <w:t xml:space="preserve">Azure AD</w:t>
            </w:r>
          </w:p>
        </w:tc>
        <w:tc>
          <w:tcPr>
            <w:tcW w:type="dxa" w:w="3120"/>
          </w:tcPr>
          <w:p>
            <w:pPr>
              <w:jc w:val="left"/>
            </w:pPr>
            <w:r>
              <w:rPr>
                <w:rFonts w:ascii="Calibri" w:cs="Calibri" w:eastAsia="Calibri" w:hAnsi="Calibri"/>
                <w:b w:val="false"/>
                <w:bCs w:val="false"/>
                <w:color w:val="333333"/>
                <w:sz w:val="20"/>
                <w:szCs w:val="20"/>
              </w:rPr>
              <w:t xml:space="preserve">SSO/SAML</w:t>
            </w:r>
          </w:p>
        </w:tc>
        <w:tc>
          <w:tcPr>
            <w:tcW w:type="dxa" w:w="3120"/>
          </w:tcPr>
          <w:p>
            <w:pPr>
              <w:jc w:val="left"/>
            </w:pPr>
            <w:r>
              <w:rPr>
                <w:rFonts w:ascii="Calibri" w:cs="Calibri" w:eastAsia="Calibri" w:hAnsi="Calibri"/>
                <w:b w:val="false"/>
                <w:bCs w:val="false"/>
                <w:color w:val="333333"/>
                <w:sz w:val="20"/>
                <w:szCs w:val="20"/>
              </w:rPr>
              <w:t xml:space="preserve">Native SAML 2.0 federation</w:t>
            </w:r>
          </w:p>
        </w:tc>
      </w:tr>
      <w:tr>
        <w:tc>
          <w:tcPr>
            <w:tcW w:type="dxa" w:w="3120"/>
            <w:shd w:fill="F5F5F5" w:val="clear"/>
          </w:tcPr>
          <w:p>
            <w:pPr>
              <w:jc w:val="left"/>
            </w:pPr>
            <w:r>
              <w:rPr>
                <w:rFonts w:ascii="Calibri" w:cs="Calibri" w:eastAsia="Calibri" w:hAnsi="Calibri"/>
                <w:b w:val="false"/>
                <w:bCs w:val="false"/>
                <w:color w:val="333333"/>
                <w:sz w:val="20"/>
                <w:szCs w:val="20"/>
              </w:rPr>
              <w:t xml:space="preserve">Snowflake</w:t>
            </w:r>
          </w:p>
        </w:tc>
        <w:tc>
          <w:tcPr>
            <w:tcW w:type="dxa" w:w="3120"/>
            <w:shd w:fill="F5F5F5" w:val="clear"/>
          </w:tcPr>
          <w:p>
            <w:pPr>
              <w:jc w:val="left"/>
            </w:pPr>
            <w:r>
              <w:rPr>
                <w:rFonts w:ascii="Calibri" w:cs="Calibri" w:eastAsia="Calibri" w:hAnsi="Calibri"/>
                <w:b w:val="false"/>
                <w:bCs w:val="false"/>
                <w:color w:val="333333"/>
                <w:sz w:val="20"/>
                <w:szCs w:val="20"/>
              </w:rPr>
              <w:t xml:space="preserve">Outbound, scheduled</w:t>
            </w:r>
          </w:p>
        </w:tc>
        <w:tc>
          <w:tcPr>
            <w:tcW w:type="dxa" w:w="3120"/>
            <w:shd w:fill="F5F5F5" w:val="clear"/>
          </w:tcPr>
          <w:p>
            <w:pPr>
              <w:jc w:val="left"/>
            </w:pPr>
            <w:r>
              <w:rPr>
                <w:rFonts w:ascii="Calibri" w:cs="Calibri" w:eastAsia="Calibri" w:hAnsi="Calibri"/>
                <w:b w:val="false"/>
                <w:bCs w:val="false"/>
                <w:color w:val="333333"/>
                <w:sz w:val="20"/>
                <w:szCs w:val="20"/>
              </w:rPr>
              <w:t xml:space="preserve">ETL pipeline via native data connector</w:t>
            </w:r>
          </w:p>
        </w:tc>
      </w:tr>
      <w:tr>
        <w:tc>
          <w:tcPr>
            <w:tcW w:type="dxa" w:w="3120"/>
          </w:tcPr>
          <w:p>
            <w:pPr>
              <w:jc w:val="left"/>
            </w:pPr>
            <w:r>
              <w:rPr>
                <w:rFonts w:ascii="Calibri" w:cs="Calibri" w:eastAsia="Calibri" w:hAnsi="Calibri"/>
                <w:b w:val="false"/>
                <w:bCs w:val="false"/>
                <w:color w:val="333333"/>
                <w:sz w:val="20"/>
                <w:szCs w:val="20"/>
              </w:rPr>
              <w:t xml:space="preserve">Genesys Cloud</w:t>
            </w:r>
          </w:p>
        </w:tc>
        <w:tc>
          <w:tcPr>
            <w:tcW w:type="dxa" w:w="3120"/>
          </w:tcPr>
          <w:p>
            <w:pPr>
              <w:jc w:val="left"/>
            </w:pPr>
            <w:r>
              <w:rPr>
                <w:rFonts w:ascii="Calibri" w:cs="Calibri" w:eastAsia="Calibri" w:hAnsi="Calibri"/>
                <w:b w:val="false"/>
                <w:bCs w:val="false"/>
                <w:color w:val="333333"/>
                <w:sz w:val="20"/>
                <w:szCs w:val="20"/>
              </w:rPr>
              <w:t xml:space="preserve">Bi-directional, real-time</w:t>
            </w:r>
          </w:p>
        </w:tc>
        <w:tc>
          <w:tcPr>
            <w:tcW w:type="dxa" w:w="3120"/>
          </w:tcPr>
          <w:p>
            <w:pPr>
              <w:jc w:val="left"/>
            </w:pPr>
            <w:r>
              <w:rPr>
                <w:rFonts w:ascii="Calibri" w:cs="Calibri" w:eastAsia="Calibri" w:hAnsi="Calibri"/>
                <w:b w:val="false"/>
                <w:bCs w:val="false"/>
                <w:color w:val="333333"/>
                <w:sz w:val="20"/>
                <w:szCs w:val="20"/>
              </w:rPr>
              <w:t xml:space="preserve">CTI adapter with screen-pop</w:t>
            </w:r>
          </w:p>
        </w:tc>
      </w:tr>
      <w:tr>
        <w:tc>
          <w:tcPr>
            <w:tcW w:type="dxa" w:w="3120"/>
            <w:shd w:fill="F5F5F5" w:val="clear"/>
          </w:tcPr>
          <w:p>
            <w:pPr>
              <w:jc w:val="left"/>
            </w:pPr>
            <w:r>
              <w:rPr>
                <w:rFonts w:ascii="Calibri" w:cs="Calibri" w:eastAsia="Calibri" w:hAnsi="Calibri"/>
                <w:b w:val="false"/>
                <w:bCs w:val="false"/>
                <w:color w:val="333333"/>
                <w:sz w:val="20"/>
                <w:szCs w:val="20"/>
              </w:rPr>
              <w:t xml:space="preserve">Power BI</w:t>
            </w:r>
          </w:p>
        </w:tc>
        <w:tc>
          <w:tcPr>
            <w:tcW w:type="dxa" w:w="3120"/>
            <w:shd w:fill="F5F5F5" w:val="clear"/>
          </w:tcPr>
          <w:p>
            <w:pPr>
              <w:jc w:val="left"/>
            </w:pPr>
            <w:r>
              <w:rPr>
                <w:rFonts w:ascii="Calibri" w:cs="Calibri" w:eastAsia="Calibri" w:hAnsi="Calibri"/>
                <w:b w:val="false"/>
                <w:bCs w:val="false"/>
                <w:color w:val="333333"/>
                <w:sz w:val="20"/>
                <w:szCs w:val="20"/>
              </w:rPr>
              <w:t xml:space="preserve">Outbound, real-time</w:t>
            </w:r>
          </w:p>
        </w:tc>
        <w:tc>
          <w:tcPr>
            <w:tcW w:type="dxa" w:w="3120"/>
            <w:shd w:fill="F5F5F5" w:val="clear"/>
          </w:tcPr>
          <w:p>
            <w:pPr>
              <w:jc w:val="left"/>
            </w:pPr>
            <w:r>
              <w:rPr>
                <w:rFonts w:ascii="Calibri" w:cs="Calibri" w:eastAsia="Calibri" w:hAnsi="Calibri"/>
                <w:b w:val="false"/>
                <w:bCs w:val="false"/>
                <w:color w:val="333333"/>
                <w:sz w:val="20"/>
                <w:szCs w:val="20"/>
              </w:rPr>
              <w:t xml:space="preserve">Native embedded analytics connector</w:t>
            </w:r>
          </w:p>
        </w:tc>
      </w:tr>
      <w:tr>
        <w:tc>
          <w:tcPr>
            <w:tcW w:type="dxa" w:w="3120"/>
          </w:tcPr>
          <w:p>
            <w:pPr>
              <w:jc w:val="left"/>
            </w:pPr>
            <w:r>
              <w:rPr>
                <w:rFonts w:ascii="Calibri" w:cs="Calibri" w:eastAsia="Calibri" w:hAnsi="Calibri"/>
                <w:b w:val="false"/>
                <w:bCs w:val="false"/>
                <w:color w:val="333333"/>
                <w:sz w:val="20"/>
                <w:szCs w:val="20"/>
              </w:rPr>
              <w:t xml:space="preserve">DocuSign</w:t>
            </w:r>
          </w:p>
        </w:tc>
        <w:tc>
          <w:tcPr>
            <w:tcW w:type="dxa" w:w="3120"/>
          </w:tcPr>
          <w:p>
            <w:pPr>
              <w:jc w:val="left"/>
            </w:pPr>
            <w:r>
              <w:rPr>
                <w:rFonts w:ascii="Calibri" w:cs="Calibri" w:eastAsia="Calibri" w:hAnsi="Calibri"/>
                <w:b w:val="false"/>
                <w:bCs w:val="false"/>
                <w:color w:val="333333"/>
                <w:sz w:val="20"/>
                <w:szCs w:val="20"/>
              </w:rPr>
              <w:t xml:space="preserve">Bi-directional</w:t>
            </w:r>
          </w:p>
        </w:tc>
        <w:tc>
          <w:tcPr>
            <w:tcW w:type="dxa" w:w="3120"/>
          </w:tcPr>
          <w:p>
            <w:pPr>
              <w:jc w:val="left"/>
            </w:pPr>
            <w:r>
              <w:rPr>
                <w:rFonts w:ascii="Calibri" w:cs="Calibri" w:eastAsia="Calibri" w:hAnsi="Calibri"/>
                <w:b w:val="false"/>
                <w:bCs w:val="false"/>
                <w:color w:val="333333"/>
                <w:sz w:val="20"/>
                <w:szCs w:val="20"/>
              </w:rPr>
              <w:t xml:space="preserve">Native e-signature connector</w:t>
            </w:r>
          </w:p>
        </w:tc>
      </w:tr>
      <w:tr>
        <w:tc>
          <w:tcPr>
            <w:tcW w:type="dxa" w:w="3120"/>
            <w:shd w:fill="F5F5F5" w:val="clear"/>
          </w:tcPr>
          <w:p>
            <w:pPr>
              <w:jc w:val="left"/>
            </w:pPr>
            <w:r>
              <w:rPr>
                <w:rFonts w:ascii="Calibri" w:cs="Calibri" w:eastAsia="Calibri" w:hAnsi="Calibri"/>
                <w:b w:val="false"/>
                <w:bCs w:val="false"/>
                <w:color w:val="333333"/>
                <w:sz w:val="20"/>
                <w:szCs w:val="20"/>
              </w:rPr>
              <w:t xml:space="preserve">SharePoint Online</w:t>
            </w:r>
          </w:p>
        </w:tc>
        <w:tc>
          <w:tcPr>
            <w:tcW w:type="dxa" w:w="3120"/>
            <w:shd w:fill="F5F5F5" w:val="clear"/>
          </w:tcPr>
          <w:p>
            <w:pPr>
              <w:jc w:val="left"/>
            </w:pPr>
            <w:r>
              <w:rPr>
                <w:rFonts w:ascii="Calibri" w:cs="Calibri" w:eastAsia="Calibri" w:hAnsi="Calibri"/>
                <w:b w:val="false"/>
                <w:bCs w:val="false"/>
                <w:color w:val="333333"/>
                <w:sz w:val="20"/>
                <w:szCs w:val="20"/>
              </w:rPr>
              <w:t xml:space="preserve">Bi-directional</w:t>
            </w:r>
          </w:p>
        </w:tc>
        <w:tc>
          <w:tcPr>
            <w:tcW w:type="dxa" w:w="3120"/>
            <w:shd w:fill="F5F5F5" w:val="clear"/>
          </w:tcPr>
          <w:p>
            <w:pPr>
              <w:jc w:val="left"/>
            </w:pPr>
            <w:r>
              <w:rPr>
                <w:rFonts w:ascii="Calibri" w:cs="Calibri" w:eastAsia="Calibri" w:hAnsi="Calibri"/>
                <w:b w:val="false"/>
                <w:bCs w:val="false"/>
                <w:color w:val="333333"/>
                <w:sz w:val="20"/>
                <w:szCs w:val="20"/>
              </w:rPr>
              <w:t xml:space="preserve">Native document management connector</w:t>
            </w:r>
          </w:p>
        </w:tc>
      </w:tr>
    </w:tbl>
    <w:p>
      <w:pPr>
        <w:pStyle w:val="Heading2"/>
        <w:spacing w:after="160"/>
      </w:pPr>
      <w:r>
        <w:rPr>
          <w:rFonts w:ascii="Calibri" w:cs="Calibri" w:eastAsia="Calibri" w:hAnsi="Calibri"/>
          <w:b/>
          <w:bCs/>
          <w:color w:val="1B3A5C"/>
          <w:sz w:val="28"/>
          <w:szCs w:val="28"/>
        </w:rPr>
        <w:t xml:space="preserve">Security &amp; Compliance Architecture</w:t>
      </w:r>
    </w:p>
    <w:p>
      <w:pPr>
        <w:spacing w:after="120" w:line="276"/>
      </w:pPr>
      <w:r>
        <w:rPr>
          <w:rFonts w:ascii="Calibri" w:cs="Calibri" w:eastAsia="Calibri" w:hAnsi="Calibri"/>
          <w:color w:val="333333"/>
          <w:sz w:val="22"/>
          <w:szCs w:val="22"/>
        </w:rPr>
        <w:t xml:space="preserve">Our platform meets all 20 non-functional requirements (REQ-NFR-001 through REQ-NFR-020) including:</w:t>
      </w:r>
    </w:p>
    <w:p>
      <w:pPr>
        <w:pStyle w:val="ListParagraph"/>
        <w:numPr>
          <w:ilvl w:val="0"/>
          <w:numId w:val="1"/>
        </w:numPr>
        <w:spacing w:after="60" w:line="276"/>
      </w:pPr>
      <w:r>
        <w:rPr>
          <w:rFonts w:ascii="Calibri" w:cs="Calibri" w:eastAsia="Calibri" w:hAnsi="Calibri"/>
          <w:b/>
          <w:bCs/>
          <w:color w:val="333333"/>
          <w:sz w:val="22"/>
          <w:szCs w:val="22"/>
        </w:rPr>
        <w:t xml:space="preserve">Encryption</w:t>
      </w:r>
      <w:r>
        <w:rPr>
          <w:rFonts w:ascii="Calibri" w:cs="Calibri" w:eastAsia="Calibri" w:hAnsi="Calibri"/>
          <w:color w:val="333333"/>
          <w:sz w:val="22"/>
          <w:szCs w:val="22"/>
        </w:rPr>
        <w:t xml:space="preserve">: AES-256 at rest, TLS 1.3 in transit (exceeding the TLS 1.2+ requirement)</w:t>
      </w:r>
    </w:p>
    <w:p>
      <w:pPr>
        <w:pStyle w:val="ListParagraph"/>
        <w:numPr>
          <w:ilvl w:val="0"/>
          <w:numId w:val="1"/>
        </w:numPr>
        <w:spacing w:after="60" w:line="276"/>
      </w:pPr>
      <w:r>
        <w:rPr>
          <w:rFonts w:ascii="Calibri" w:cs="Calibri" w:eastAsia="Calibri" w:hAnsi="Calibri"/>
          <w:b/>
          <w:bCs/>
          <w:color w:val="333333"/>
          <w:sz w:val="22"/>
          <w:szCs w:val="22"/>
        </w:rPr>
        <w:t xml:space="preserve">Authentication</w:t>
      </w:r>
      <w:r>
        <w:rPr>
          <w:rFonts w:ascii="Calibri" w:cs="Calibri" w:eastAsia="Calibri" w:hAnsi="Calibri"/>
          <w:color w:val="333333"/>
          <w:sz w:val="22"/>
          <w:szCs w:val="22"/>
        </w:rPr>
        <w:t xml:space="preserve">: MFA via SAML 2.0 and OAuth 2.0 with Azure AD SSO</w:t>
      </w:r>
    </w:p>
    <w:p>
      <w:pPr>
        <w:pStyle w:val="ListParagraph"/>
        <w:numPr>
          <w:ilvl w:val="0"/>
          <w:numId w:val="1"/>
        </w:numPr>
        <w:spacing w:after="60" w:line="276"/>
      </w:pPr>
      <w:r>
        <w:rPr>
          <w:rFonts w:ascii="Calibri" w:cs="Calibri" w:eastAsia="Calibri" w:hAnsi="Calibri"/>
          <w:b/>
          <w:bCs/>
          <w:color w:val="333333"/>
          <w:sz w:val="22"/>
          <w:szCs w:val="22"/>
        </w:rPr>
        <w:t xml:space="preserve">Access control</w:t>
      </w:r>
      <w:r>
        <w:rPr>
          <w:rFonts w:ascii="Calibri" w:cs="Calibri" w:eastAsia="Calibri" w:hAnsi="Calibri"/>
          <w:color w:val="333333"/>
          <w:sz w:val="22"/>
          <w:szCs w:val="22"/>
        </w:rPr>
        <w:t xml:space="preserve">: Role-based (RBAC) with field-level security and IP whitelisting</w:t>
      </w:r>
    </w:p>
    <w:p>
      <w:pPr>
        <w:pStyle w:val="ListParagraph"/>
        <w:numPr>
          <w:ilvl w:val="0"/>
          <w:numId w:val="1"/>
        </w:numPr>
        <w:spacing w:after="60" w:line="276"/>
      </w:pPr>
      <w:r>
        <w:rPr>
          <w:rFonts w:ascii="Calibri" w:cs="Calibri" w:eastAsia="Calibri" w:hAnsi="Calibri"/>
          <w:b/>
          <w:bCs/>
          <w:color w:val="333333"/>
          <w:sz w:val="22"/>
          <w:szCs w:val="22"/>
        </w:rPr>
        <w:t xml:space="preserve">Data residency</w:t>
      </w:r>
      <w:r>
        <w:rPr>
          <w:rFonts w:ascii="Calibri" w:cs="Calibri" w:eastAsia="Calibri" w:hAnsi="Calibri"/>
          <w:color w:val="333333"/>
          <w:sz w:val="22"/>
          <w:szCs w:val="22"/>
        </w:rPr>
        <w:t xml:space="preserve">: Regional data centers in US, EU (Frankfurt), and APAC (Singapore) for GDPR, CCPA, and PIPL compliance</w:t>
      </w:r>
    </w:p>
    <w:p>
      <w:pPr>
        <w:pStyle w:val="ListParagraph"/>
        <w:numPr>
          <w:ilvl w:val="0"/>
          <w:numId w:val="1"/>
        </w:numPr>
        <w:spacing w:after="60" w:line="276"/>
      </w:pPr>
      <w:r>
        <w:rPr>
          <w:rFonts w:ascii="Calibri" w:cs="Calibri" w:eastAsia="Calibri" w:hAnsi="Calibri"/>
          <w:b/>
          <w:bCs/>
          <w:color w:val="333333"/>
          <w:sz w:val="22"/>
          <w:szCs w:val="22"/>
        </w:rPr>
        <w:t xml:space="preserve">Audit</w:t>
      </w:r>
      <w:r>
        <w:rPr>
          <w:rFonts w:ascii="Calibri" w:cs="Calibri" w:eastAsia="Calibri" w:hAnsi="Calibri"/>
          <w:color w:val="333333"/>
          <w:sz w:val="22"/>
          <w:szCs w:val="22"/>
        </w:rPr>
        <w:t xml:space="preserve">: Comprehensive audit trail for all data changes with 7-year retention</w:t>
      </w:r>
    </w:p>
    <w:p>
      <w:pPr>
        <w:pStyle w:val="ListParagraph"/>
        <w:numPr>
          <w:ilvl w:val="0"/>
          <w:numId w:val="1"/>
        </w:numPr>
        <w:spacing w:after="60" w:line="276"/>
      </w:pPr>
      <w:r>
        <w:rPr>
          <w:rFonts w:ascii="Calibri" w:cs="Calibri" w:eastAsia="Calibri" w:hAnsi="Calibri"/>
          <w:b/>
          <w:bCs/>
          <w:color w:val="333333"/>
          <w:sz w:val="22"/>
          <w:szCs w:val="22"/>
        </w:rPr>
        <w:t xml:space="preserve">DR</w:t>
      </w:r>
      <w:r>
        <w:rPr>
          <w:rFonts w:ascii="Calibri" w:cs="Calibri" w:eastAsia="Calibri" w:hAnsi="Calibri"/>
          <w:color w:val="333333"/>
          <w:sz w:val="22"/>
          <w:szCs w:val="22"/>
        </w:rPr>
        <w:t xml:space="preserve">: RPO 1 hour, RTO 4 hours with automated failover and annual DR testing</w:t>
      </w:r>
    </w:p>
    <w:p>
      <w:pPr>
        <w:shd w:fill="FFE0E0" w:val="clear"/>
        <w:spacing w:after="120" w:line="276"/>
      </w:pPr>
      <w:r>
        <w:rPr>
          <w:rFonts w:ascii="Calibri" w:cs="Calibri" w:eastAsia="Calibri" w:hAnsi="Calibri"/>
          <w:b/>
          <w:bCs/>
          <w:color w:val="CC0000"/>
          <w:sz w:val="22"/>
          <w:szCs w:val="22"/>
        </w:rPr>
        <w:t xml:space="preserve">[REQUIRED: Specific technology versions, platform name, and detailed security architecture]</w:t>
      </w:r>
    </w:p>
    <w:p>
      <w:pPr>
        <w:pStyle w:val="Heading1"/>
        <w:spacing w:after="200" w:before="400"/>
      </w:pPr>
      <w:r>
        <w:rPr>
          <w:rFonts w:ascii="Calibri" w:cs="Calibri" w:eastAsia="Calibri" w:hAnsi="Calibri"/>
          <w:b/>
          <w:bCs/>
          <w:color w:val="1B3A5C"/>
          <w:sz w:val="36"/>
          <w:szCs w:val="36"/>
        </w:rPr>
        <w:t xml:space="preserve">5. Management Approach</w:t>
      </w:r>
    </w:p>
    <w:p>
      <w:pPr>
        <w:pStyle w:val="Heading2"/>
        <w:spacing w:after="160"/>
      </w:pPr>
      <w:r>
        <w:rPr>
          <w:rFonts w:ascii="Calibri" w:cs="Calibri" w:eastAsia="Calibri" w:hAnsi="Calibri"/>
          <w:b/>
          <w:bCs/>
          <w:color w:val="1B3A5C"/>
          <w:sz w:val="28"/>
          <w:szCs w:val="28"/>
        </w:rPr>
        <w:t xml:space="preserve">Methodology</w:t>
      </w:r>
    </w:p>
    <w:p>
      <w:pPr>
        <w:spacing w:after="120" w:line="276"/>
      </w:pPr>
      <w:r>
        <w:rPr>
          <w:rFonts w:ascii="Calibri" w:cs="Calibri" w:eastAsia="Calibri" w:hAnsi="Calibri"/>
          <w:color w:val="333333"/>
          <w:sz w:val="22"/>
          <w:szCs w:val="22"/>
        </w:rPr>
        <w:t xml:space="preserve">Aligned with Acme Corp's stated preference (Section 5.1), we employ an </w:t>
      </w:r>
      <w:r>
        <w:rPr>
          <w:rFonts w:ascii="Calibri" w:cs="Calibri" w:eastAsia="Calibri" w:hAnsi="Calibri"/>
          <w:b/>
          <w:bCs/>
          <w:color w:val="333333"/>
          <w:sz w:val="22"/>
          <w:szCs w:val="22"/>
        </w:rPr>
        <w:t xml:space="preserve">Agile-hybrid methodology</w:t>
      </w:r>
      <w:r>
        <w:rPr>
          <w:rFonts w:ascii="Calibri" w:cs="Calibri" w:eastAsia="Calibri" w:hAnsi="Calibri"/>
          <w:color w:val="333333"/>
          <w:sz w:val="22"/>
          <w:szCs w:val="22"/>
        </w:rPr>
        <w:t xml:space="preserve"> that combines iterative 2-week development sprints with structured program governance milestones. This approach delivers the agility needed for a complex, multi-region deployment while maintaining the oversight and predictability required for an engagement of this scale and budget.</w:t>
      </w:r>
    </w:p>
    <w:p>
      <w:pPr>
        <w:pStyle w:val="Heading2"/>
        <w:spacing w:after="160"/>
      </w:pPr>
      <w:r>
        <w:rPr>
          <w:rFonts w:ascii="Calibri" w:cs="Calibri" w:eastAsia="Calibri" w:hAnsi="Calibri"/>
          <w:b/>
          <w:bCs/>
          <w:color w:val="1B3A5C"/>
          <w:sz w:val="28"/>
          <w:szCs w:val="28"/>
        </w:rPr>
        <w:t xml:space="preserve">Phase Plan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shd w:fill="1B3A5C" w:val="clear"/>
          </w:tcPr>
          <w:p>
            <w:pPr>
              <w:jc w:val="center"/>
            </w:pPr>
            <w:r>
              <w:rPr>
                <w:rFonts w:ascii="Calibri" w:cs="Calibri" w:eastAsia="Calibri" w:hAnsi="Calibri"/>
                <w:b/>
                <w:bCs/>
                <w:color w:val="FFFFFF"/>
                <w:sz w:val="20"/>
                <w:szCs w:val="20"/>
              </w:rPr>
              <w:t xml:space="preserve">Phase</w:t>
            </w:r>
          </w:p>
        </w:tc>
        <w:tc>
          <w:tcPr>
            <w:tcW w:type="dxa" w:w="3120"/>
            <w:shd w:fill="1B3A5C" w:val="clear"/>
          </w:tcPr>
          <w:p>
            <w:pPr>
              <w:jc w:val="center"/>
            </w:pPr>
            <w:r>
              <w:rPr>
                <w:rFonts w:ascii="Calibri" w:cs="Calibri" w:eastAsia="Calibri" w:hAnsi="Calibri"/>
                <w:b/>
                <w:bCs/>
                <w:color w:val="FFFFFF"/>
                <w:sz w:val="20"/>
                <w:szCs w:val="20"/>
              </w:rPr>
              <w:t xml:space="preserve">Timeline</w:t>
            </w:r>
          </w:p>
        </w:tc>
        <w:tc>
          <w:tcPr>
            <w:tcW w:type="dxa" w:w="3120"/>
            <w:shd w:fill="1B3A5C" w:val="clear"/>
          </w:tcPr>
          <w:p>
            <w:pPr>
              <w:jc w:val="center"/>
            </w:pPr>
            <w:r>
              <w:rPr>
                <w:rFonts w:ascii="Calibri" w:cs="Calibri" w:eastAsia="Calibri" w:hAnsi="Calibri"/>
                <w:b/>
                <w:bCs/>
                <w:color w:val="FFFFFF"/>
                <w:sz w:val="20"/>
                <w:szCs w:val="20"/>
              </w:rPr>
              <w:t xml:space="preserve">Key Deliverables</w:t>
            </w:r>
          </w:p>
        </w:tc>
      </w:tr>
      <w:tr>
        <w:tc>
          <w:tcPr>
            <w:tcW w:type="dxa" w:w="3120"/>
          </w:tcPr>
          <w:p>
            <w:pPr>
              <w:jc w:val="left"/>
            </w:pPr>
            <w:r>
              <w:rPr>
                <w:rFonts w:ascii="Calibri" w:cs="Calibri" w:eastAsia="Calibri" w:hAnsi="Calibri"/>
                <w:b w:val="false"/>
                <w:bCs w:val="false"/>
                <w:color w:val="333333"/>
                <w:sz w:val="20"/>
                <w:szCs w:val="20"/>
              </w:rPr>
              <w:t xml:space="preserve">1: Initiation &amp; Design</w:t>
            </w:r>
          </w:p>
        </w:tc>
        <w:tc>
          <w:tcPr>
            <w:tcW w:type="dxa" w:w="3120"/>
          </w:tcPr>
          <w:p>
            <w:pPr>
              <w:jc w:val="left"/>
            </w:pPr>
            <w:r>
              <w:rPr>
                <w:rFonts w:ascii="Calibri" w:cs="Calibri" w:eastAsia="Calibri" w:hAnsi="Calibri"/>
                <w:b w:val="false"/>
                <w:bCs w:val="false"/>
                <w:color w:val="333333"/>
                <w:sz w:val="20"/>
                <w:szCs w:val="20"/>
              </w:rPr>
              <w:t xml:space="preserve">Months 1-3</w:t>
            </w:r>
          </w:p>
        </w:tc>
        <w:tc>
          <w:tcPr>
            <w:tcW w:type="dxa" w:w="3120"/>
          </w:tcPr>
          <w:p>
            <w:pPr>
              <w:jc w:val="left"/>
            </w:pPr>
            <w:r>
              <w:rPr>
                <w:rFonts w:ascii="Calibri" w:cs="Calibri" w:eastAsia="Calibri" w:hAnsi="Calibri"/>
                <w:b w:val="false"/>
                <w:bCs w:val="false"/>
                <w:color w:val="333333"/>
                <w:sz w:val="20"/>
                <w:szCs w:val="20"/>
              </w:rPr>
              <w:t xml:space="preserve">Requirements validation, solution design, integration architecture, data profiling</w:t>
            </w:r>
          </w:p>
        </w:tc>
      </w:tr>
      <w:tr>
        <w:tc>
          <w:tcPr>
            <w:tcW w:type="dxa" w:w="3120"/>
            <w:shd w:fill="F5F5F5" w:val="clear"/>
          </w:tcPr>
          <w:p>
            <w:pPr>
              <w:jc w:val="left"/>
            </w:pPr>
            <w:r>
              <w:rPr>
                <w:rFonts w:ascii="Calibri" w:cs="Calibri" w:eastAsia="Calibri" w:hAnsi="Calibri"/>
                <w:b w:val="false"/>
                <w:bCs w:val="false"/>
                <w:color w:val="333333"/>
                <w:sz w:val="20"/>
                <w:szCs w:val="20"/>
              </w:rPr>
              <w:t xml:space="preserve">2: Core Platform Build</w:t>
            </w:r>
          </w:p>
        </w:tc>
        <w:tc>
          <w:tcPr>
            <w:tcW w:type="dxa" w:w="3120"/>
            <w:shd w:fill="F5F5F5" w:val="clear"/>
          </w:tcPr>
          <w:p>
            <w:pPr>
              <w:jc w:val="left"/>
            </w:pPr>
            <w:r>
              <w:rPr>
                <w:rFonts w:ascii="Calibri" w:cs="Calibri" w:eastAsia="Calibri" w:hAnsi="Calibri"/>
                <w:b w:val="false"/>
                <w:bCs w:val="false"/>
                <w:color w:val="333333"/>
                <w:sz w:val="20"/>
                <w:szCs w:val="20"/>
              </w:rPr>
              <w:t xml:space="preserve">Months 4-8</w:t>
            </w:r>
          </w:p>
        </w:tc>
        <w:tc>
          <w:tcPr>
            <w:tcW w:type="dxa" w:w="3120"/>
            <w:shd w:fill="F5F5F5" w:val="clear"/>
          </w:tcPr>
          <w:p>
            <w:pPr>
              <w:jc w:val="left"/>
            </w:pPr>
            <w:r>
              <w:rPr>
                <w:rFonts w:ascii="Calibri" w:cs="Calibri" w:eastAsia="Calibri" w:hAnsi="Calibri"/>
                <w:b w:val="false"/>
                <w:bCs w:val="false"/>
                <w:color w:val="333333"/>
                <w:sz w:val="20"/>
                <w:szCs w:val="20"/>
              </w:rPr>
              <w:t xml:space="preserve">Platform configuration, customization, integration development, data migration prep</w:t>
            </w:r>
          </w:p>
        </w:tc>
      </w:tr>
      <w:tr>
        <w:tc>
          <w:tcPr>
            <w:tcW w:type="dxa" w:w="3120"/>
          </w:tcPr>
          <w:p>
            <w:pPr>
              <w:jc w:val="left"/>
            </w:pPr>
            <w:r>
              <w:rPr>
                <w:rFonts w:ascii="Calibri" w:cs="Calibri" w:eastAsia="Calibri" w:hAnsi="Calibri"/>
                <w:b w:val="false"/>
                <w:bCs w:val="false"/>
                <w:color w:val="333333"/>
                <w:sz w:val="20"/>
                <w:szCs w:val="20"/>
              </w:rPr>
              <w:t xml:space="preserve">3: North America Pilot</w:t>
            </w:r>
          </w:p>
        </w:tc>
        <w:tc>
          <w:tcPr>
            <w:tcW w:type="dxa" w:w="3120"/>
          </w:tcPr>
          <w:p>
            <w:pPr>
              <w:jc w:val="left"/>
            </w:pPr>
            <w:r>
              <w:rPr>
                <w:rFonts w:ascii="Calibri" w:cs="Calibri" w:eastAsia="Calibri" w:hAnsi="Calibri"/>
                <w:b w:val="false"/>
                <w:bCs w:val="false"/>
                <w:color w:val="333333"/>
                <w:sz w:val="20"/>
                <w:szCs w:val="20"/>
              </w:rPr>
              <w:t xml:space="preserve">Months 9-12</w:t>
            </w:r>
          </w:p>
        </w:tc>
        <w:tc>
          <w:tcPr>
            <w:tcW w:type="dxa" w:w="3120"/>
          </w:tcPr>
          <w:p>
            <w:pPr>
              <w:jc w:val="left"/>
            </w:pPr>
            <w:r>
              <w:rPr>
                <w:rFonts w:ascii="Calibri" w:cs="Calibri" w:eastAsia="Calibri" w:hAnsi="Calibri"/>
                <w:b w:val="false"/>
                <w:bCs w:val="false"/>
                <w:color w:val="333333"/>
                <w:sz w:val="20"/>
                <w:szCs w:val="20"/>
              </w:rPr>
              <w:t xml:space="preserve">UAT, pilot deployment (500 users in Aerospace), performance tuning</w:t>
            </w:r>
          </w:p>
        </w:tc>
      </w:tr>
      <w:tr>
        <w:tc>
          <w:tcPr>
            <w:tcW w:type="dxa" w:w="3120"/>
            <w:shd w:fill="F5F5F5" w:val="clear"/>
          </w:tcPr>
          <w:p>
            <w:pPr>
              <w:jc w:val="left"/>
            </w:pPr>
            <w:r>
              <w:rPr>
                <w:rFonts w:ascii="Calibri" w:cs="Calibri" w:eastAsia="Calibri" w:hAnsi="Calibri"/>
                <w:b w:val="false"/>
                <w:bCs w:val="false"/>
                <w:color w:val="333333"/>
                <w:sz w:val="20"/>
                <w:szCs w:val="20"/>
              </w:rPr>
              <w:t xml:space="preserve">4: EMEA &amp; APAC Rollout</w:t>
            </w:r>
          </w:p>
        </w:tc>
        <w:tc>
          <w:tcPr>
            <w:tcW w:type="dxa" w:w="3120"/>
            <w:shd w:fill="F5F5F5" w:val="clear"/>
          </w:tcPr>
          <w:p>
            <w:pPr>
              <w:jc w:val="left"/>
            </w:pPr>
            <w:r>
              <w:rPr>
                <w:rFonts w:ascii="Calibri" w:cs="Calibri" w:eastAsia="Calibri" w:hAnsi="Calibri"/>
                <w:b w:val="false"/>
                <w:bCs w:val="false"/>
                <w:color w:val="333333"/>
                <w:sz w:val="20"/>
                <w:szCs w:val="20"/>
              </w:rPr>
              <w:t xml:space="preserve">Months 13-18</w:t>
            </w:r>
          </w:p>
        </w:tc>
        <w:tc>
          <w:tcPr>
            <w:tcW w:type="dxa" w:w="3120"/>
            <w:shd w:fill="F5F5F5" w:val="clear"/>
          </w:tcPr>
          <w:p>
            <w:pPr>
              <w:jc w:val="left"/>
            </w:pPr>
            <w:r>
              <w:rPr>
                <w:rFonts w:ascii="Calibri" w:cs="Calibri" w:eastAsia="Calibri" w:hAnsi="Calibri"/>
                <w:b w:val="false"/>
                <w:bCs w:val="false"/>
                <w:color w:val="333333"/>
                <w:sz w:val="20"/>
                <w:szCs w:val="20"/>
              </w:rPr>
              <w:t xml:space="preserve">Regional deployments with localization, training, change management</w:t>
            </w:r>
          </w:p>
        </w:tc>
      </w:tr>
      <w:tr>
        <w:tc>
          <w:tcPr>
            <w:tcW w:type="dxa" w:w="3120"/>
          </w:tcPr>
          <w:p>
            <w:pPr>
              <w:jc w:val="left"/>
            </w:pPr>
            <w:r>
              <w:rPr>
                <w:rFonts w:ascii="Calibri" w:cs="Calibri" w:eastAsia="Calibri" w:hAnsi="Calibri"/>
                <w:b w:val="false"/>
                <w:bCs w:val="false"/>
                <w:color w:val="333333"/>
                <w:sz w:val="20"/>
                <w:szCs w:val="20"/>
              </w:rPr>
              <w:t xml:space="preserve">5: Global Completion</w:t>
            </w:r>
          </w:p>
        </w:tc>
        <w:tc>
          <w:tcPr>
            <w:tcW w:type="dxa" w:w="3120"/>
          </w:tcPr>
          <w:p>
            <w:pPr>
              <w:jc w:val="left"/>
            </w:pPr>
            <w:r>
              <w:rPr>
                <w:rFonts w:ascii="Calibri" w:cs="Calibri" w:eastAsia="Calibri" w:hAnsi="Calibri"/>
                <w:b w:val="false"/>
                <w:bCs w:val="false"/>
                <w:color w:val="333333"/>
                <w:sz w:val="20"/>
                <w:szCs w:val="20"/>
              </w:rPr>
              <w:t xml:space="preserve">Months 19-22</w:t>
            </w:r>
          </w:p>
        </w:tc>
        <w:tc>
          <w:tcPr>
            <w:tcW w:type="dxa" w:w="3120"/>
          </w:tcPr>
          <w:p>
            <w:pPr>
              <w:jc w:val="left"/>
            </w:pPr>
            <w:r>
              <w:rPr>
                <w:rFonts w:ascii="Calibri" w:cs="Calibri" w:eastAsia="Calibri" w:hAnsi="Calibri"/>
                <w:b w:val="false"/>
                <w:bCs w:val="false"/>
                <w:color w:val="333333"/>
                <w:sz w:val="20"/>
                <w:szCs w:val="20"/>
              </w:rPr>
              <w:t xml:space="preserve">LATAM and remaining regions, optimization, hypercare, knowledge transfer</w:t>
            </w:r>
          </w:p>
        </w:tc>
      </w:tr>
    </w:tbl>
    <w:p>
      <w:pPr>
        <w:pStyle w:val="Heading2"/>
        <w:spacing w:after="160"/>
      </w:pPr>
      <w:r>
        <w:rPr>
          <w:rFonts w:ascii="Calibri" w:cs="Calibri" w:eastAsia="Calibri" w:hAnsi="Calibri"/>
          <w:b/>
          <w:bCs/>
          <w:color w:val="1B3A5C"/>
          <w:sz w:val="28"/>
          <w:szCs w:val="28"/>
        </w:rPr>
        <w:t xml:space="preserve">Governance Structure</w:t>
      </w:r>
    </w:p>
    <w:p>
      <w:pPr>
        <w:pStyle w:val="ListParagraph"/>
        <w:numPr>
          <w:ilvl w:val="0"/>
          <w:numId w:val="1"/>
        </w:numPr>
        <w:spacing w:after="60" w:line="276"/>
      </w:pPr>
      <w:r>
        <w:rPr>
          <w:rFonts w:ascii="Calibri" w:cs="Calibri" w:eastAsia="Calibri" w:hAnsi="Calibri"/>
          <w:b/>
          <w:bCs/>
          <w:color w:val="333333"/>
          <w:sz w:val="22"/>
          <w:szCs w:val="22"/>
        </w:rPr>
        <w:t xml:space="preserve">Executive Steering Committee</w:t>
      </w:r>
      <w:r>
        <w:rPr>
          <w:rFonts w:ascii="Calibri" w:cs="Calibri" w:eastAsia="Calibri" w:hAnsi="Calibri"/>
          <w:color w:val="333333"/>
          <w:sz w:val="22"/>
          <w:szCs w:val="22"/>
        </w:rPr>
        <w:t xml:space="preserve"> — Monthly, VP-level alignment on strategic decisions</w:t>
      </w:r>
    </w:p>
    <w:p>
      <w:pPr>
        <w:pStyle w:val="ListParagraph"/>
        <w:numPr>
          <w:ilvl w:val="0"/>
          <w:numId w:val="1"/>
        </w:numPr>
        <w:spacing w:after="60" w:line="276"/>
      </w:pPr>
      <w:r>
        <w:rPr>
          <w:rFonts w:ascii="Calibri" w:cs="Calibri" w:eastAsia="Calibri" w:hAnsi="Calibri"/>
          <w:b/>
          <w:bCs/>
          <w:color w:val="333333"/>
          <w:sz w:val="22"/>
          <w:szCs w:val="22"/>
        </w:rPr>
        <w:t xml:space="preserve">Program Management Board</w:t>
      </w:r>
      <w:r>
        <w:rPr>
          <w:rFonts w:ascii="Calibri" w:cs="Calibri" w:eastAsia="Calibri" w:hAnsi="Calibri"/>
          <w:color w:val="333333"/>
          <w:sz w:val="22"/>
          <w:szCs w:val="22"/>
        </w:rPr>
        <w:t xml:space="preserve"> — Bi-weekly, cross-functional issue resolution and risk management</w:t>
      </w:r>
    </w:p>
    <w:p>
      <w:pPr>
        <w:pStyle w:val="ListParagraph"/>
        <w:numPr>
          <w:ilvl w:val="0"/>
          <w:numId w:val="1"/>
        </w:numPr>
        <w:spacing w:after="60" w:line="276"/>
      </w:pPr>
      <w:r>
        <w:rPr>
          <w:rFonts w:ascii="Calibri" w:cs="Calibri" w:eastAsia="Calibri" w:hAnsi="Calibri"/>
          <w:b/>
          <w:bCs/>
          <w:color w:val="333333"/>
          <w:sz w:val="22"/>
          <w:szCs w:val="22"/>
        </w:rPr>
        <w:t xml:space="preserve">Sprint Reviews</w:t>
      </w:r>
      <w:r>
        <w:rPr>
          <w:rFonts w:ascii="Calibri" w:cs="Calibri" w:eastAsia="Calibri" w:hAnsi="Calibri"/>
          <w:color w:val="333333"/>
          <w:sz w:val="22"/>
          <w:szCs w:val="22"/>
        </w:rPr>
        <w:t xml:space="preserve"> — Every 2 weeks, stakeholder demos and feedback</w:t>
      </w:r>
    </w:p>
    <w:p>
      <w:pPr>
        <w:pStyle w:val="ListParagraph"/>
        <w:numPr>
          <w:ilvl w:val="0"/>
          <w:numId w:val="1"/>
        </w:numPr>
        <w:spacing w:after="60" w:line="276"/>
      </w:pPr>
      <w:r>
        <w:rPr>
          <w:rFonts w:ascii="Calibri" w:cs="Calibri" w:eastAsia="Calibri" w:hAnsi="Calibri"/>
          <w:b/>
          <w:bCs/>
          <w:color w:val="333333"/>
          <w:sz w:val="22"/>
          <w:szCs w:val="22"/>
        </w:rPr>
        <w:t xml:space="preserve">Regional Deployment Boards</w:t>
      </w:r>
      <w:r>
        <w:rPr>
          <w:rFonts w:ascii="Calibri" w:cs="Calibri" w:eastAsia="Calibri" w:hAnsi="Calibri"/>
          <w:color w:val="333333"/>
          <w:sz w:val="22"/>
          <w:szCs w:val="22"/>
        </w:rPr>
        <w:t xml:space="preserve"> — Per region, localization and adoption oversight</w:t>
      </w:r>
    </w:p>
    <w:p>
      <w:pPr>
        <w:pStyle w:val="Heading2"/>
        <w:spacing w:after="160"/>
      </w:pPr>
      <w:r>
        <w:rPr>
          <w:rFonts w:ascii="Calibri" w:cs="Calibri" w:eastAsia="Calibri" w:hAnsi="Calibri"/>
          <w:b/>
          <w:bCs/>
          <w:color w:val="1B3A5C"/>
          <w:sz w:val="28"/>
          <w:szCs w:val="28"/>
        </w:rPr>
        <w:t xml:space="preserve">Change Management &amp; Training</w:t>
      </w:r>
    </w:p>
    <w:p>
      <w:pPr>
        <w:spacing w:after="120" w:line="276"/>
      </w:pPr>
      <w:r>
        <w:rPr>
          <w:rFonts w:ascii="Calibri" w:cs="Calibri" w:eastAsia="Calibri" w:hAnsi="Calibri"/>
          <w:color w:val="333333"/>
          <w:sz w:val="22"/>
          <w:szCs w:val="22"/>
        </w:rPr>
        <w:t xml:space="preserve">Achieving the 90%+ adoption target (OBJ-06) across 25 countries requires more than training — it requires organizational change management. Our approach includes:</w:t>
      </w:r>
    </w:p>
    <w:p>
      <w:pPr>
        <w:pStyle w:val="ListParagraph"/>
        <w:numPr>
          <w:ilvl w:val="0"/>
          <w:numId w:val="1"/>
        </w:numPr>
        <w:spacing w:after="60" w:line="276"/>
      </w:pPr>
      <w:r>
        <w:rPr>
          <w:rFonts w:ascii="Calibri" w:cs="Calibri" w:eastAsia="Calibri" w:hAnsi="Calibri"/>
          <w:b/>
          <w:bCs/>
          <w:color w:val="333333"/>
          <w:sz w:val="22"/>
          <w:szCs w:val="22"/>
        </w:rPr>
        <w:t xml:space="preserve">Prosci ADKAR framework</w:t>
      </w:r>
      <w:r>
        <w:rPr>
          <w:rFonts w:ascii="Calibri" w:cs="Calibri" w:eastAsia="Calibri" w:hAnsi="Calibri"/>
          <w:color w:val="333333"/>
          <w:sz w:val="22"/>
          <w:szCs w:val="22"/>
        </w:rPr>
        <w:t xml:space="preserve"> for structured change management with measurable adoption KPIs</w:t>
      </w:r>
    </w:p>
    <w:p>
      <w:pPr>
        <w:pStyle w:val="ListParagraph"/>
        <w:numPr>
          <w:ilvl w:val="0"/>
          <w:numId w:val="1"/>
        </w:numPr>
        <w:spacing w:after="60" w:line="276"/>
      </w:pPr>
      <w:r>
        <w:rPr>
          <w:rFonts w:ascii="Calibri" w:cs="Calibri" w:eastAsia="Calibri" w:hAnsi="Calibri"/>
          <w:b/>
          <w:bCs/>
          <w:color w:val="333333"/>
          <w:sz w:val="22"/>
          <w:szCs w:val="22"/>
        </w:rPr>
        <w:t xml:space="preserve">Local champion network</w:t>
      </w:r>
      <w:r>
        <w:rPr>
          <w:rFonts w:ascii="Calibri" w:cs="Calibri" w:eastAsia="Calibri" w:hAnsi="Calibri"/>
          <w:color w:val="333333"/>
          <w:sz w:val="22"/>
          <w:szCs w:val="22"/>
        </w:rPr>
        <w:t xml:space="preserve"> — 50+ trained change champions across all regions</w:t>
      </w:r>
    </w:p>
    <w:p>
      <w:pPr>
        <w:pStyle w:val="ListParagraph"/>
        <w:numPr>
          <w:ilvl w:val="0"/>
          <w:numId w:val="1"/>
        </w:numPr>
        <w:spacing w:after="60" w:line="276"/>
      </w:pPr>
      <w:r>
        <w:rPr>
          <w:rFonts w:ascii="Calibri" w:cs="Calibri" w:eastAsia="Calibri" w:hAnsi="Calibri"/>
          <w:b/>
          <w:bCs/>
          <w:color w:val="333333"/>
          <w:sz w:val="22"/>
          <w:szCs w:val="22"/>
        </w:rPr>
        <w:t xml:space="preserve">Multi-modal training</w:t>
      </w:r>
      <w:r>
        <w:rPr>
          <w:rFonts w:ascii="Calibri" w:cs="Calibri" w:eastAsia="Calibri" w:hAnsi="Calibri"/>
          <w:color w:val="333333"/>
          <w:sz w:val="22"/>
          <w:szCs w:val="22"/>
        </w:rPr>
        <w:t xml:space="preserve">: instructor-led (in-person + virtual), self-paced e-learning, role-based tracks, all in 5 primary languages</w:t>
      </w:r>
    </w:p>
    <w:p>
      <w:pPr>
        <w:pStyle w:val="ListParagraph"/>
        <w:numPr>
          <w:ilvl w:val="0"/>
          <w:numId w:val="1"/>
        </w:numPr>
        <w:spacing w:after="60" w:line="276"/>
      </w:pPr>
      <w:r>
        <w:rPr>
          <w:rFonts w:ascii="Calibri" w:cs="Calibri" w:eastAsia="Calibri" w:hAnsi="Calibri"/>
          <w:b/>
          <w:bCs/>
          <w:color w:val="333333"/>
          <w:sz w:val="22"/>
          <w:szCs w:val="22"/>
        </w:rPr>
        <w:t xml:space="preserve">Train-the-trainer program</w:t>
      </w:r>
      <w:r>
        <w:rPr>
          <w:rFonts w:ascii="Calibri" w:cs="Calibri" w:eastAsia="Calibri" w:hAnsi="Calibri"/>
          <w:color w:val="333333"/>
          <w:sz w:val="22"/>
          <w:szCs w:val="22"/>
        </w:rPr>
        <w:t xml:space="preserve"> for sustainable knowledge transfer post-deployment</w:t>
      </w:r>
    </w:p>
    <w:p>
      <w:pPr>
        <w:pStyle w:val="ListParagraph"/>
        <w:numPr>
          <w:ilvl w:val="0"/>
          <w:numId w:val="1"/>
        </w:numPr>
        <w:spacing w:after="60" w:line="276"/>
      </w:pPr>
      <w:r>
        <w:rPr>
          <w:rFonts w:ascii="Calibri" w:cs="Calibri" w:eastAsia="Calibri" w:hAnsi="Calibri"/>
          <w:b/>
          <w:bCs/>
          <w:color w:val="333333"/>
          <w:sz w:val="22"/>
          <w:szCs w:val="22"/>
        </w:rPr>
        <w:t xml:space="preserve">Adoption dashboards</w:t>
      </w:r>
      <w:r>
        <w:rPr>
          <w:rFonts w:ascii="Calibri" w:cs="Calibri" w:eastAsia="Calibri" w:hAnsi="Calibri"/>
          <w:color w:val="333333"/>
          <w:sz w:val="22"/>
          <w:szCs w:val="22"/>
        </w:rPr>
        <w:t xml:space="preserve"> tracking login rates, feature utilization, and support ticket trends per region</w:t>
      </w:r>
    </w:p>
    <w:p>
      <w:pPr>
        <w:shd w:fill="FFF9E0" w:val="clear"/>
        <w:spacing w:after="120" w:line="276"/>
      </w:pPr>
      <w:r>
        <w:rPr>
          <w:rFonts w:ascii="Calibri" w:cs="Calibri" w:eastAsia="Calibri" w:hAnsi="Calibri"/>
          <w:b w:val="false"/>
          <w:bCs w:val="false"/>
          <w:color w:val="996600"/>
          <w:sz w:val="22"/>
          <w:szCs w:val="22"/>
        </w:rPr>
        <w:t xml:space="preserve">[SUGGESTED: Customize methodology details based on your actual delivery framework from methodology.yaml]</w:t>
      </w:r>
    </w:p>
    <w:p>
      <w:pPr>
        <w:pStyle w:val="Heading1"/>
        <w:spacing w:after="200" w:before="400"/>
      </w:pPr>
      <w:r>
        <w:rPr>
          <w:rFonts w:ascii="Calibri" w:cs="Calibri" w:eastAsia="Calibri" w:hAnsi="Calibri"/>
          <w:b/>
          <w:bCs/>
          <w:color w:val="1B3A5C"/>
          <w:sz w:val="36"/>
          <w:szCs w:val="36"/>
        </w:rPr>
        <w:t xml:space="preserve">6. Staffing Plan</w:t>
      </w:r>
    </w:p>
    <w:p>
      <w:pPr>
        <w:spacing w:after="120" w:line="276"/>
      </w:pPr>
      <w:r>
        <w:rPr>
          <w:rFonts w:ascii="Calibri" w:cs="Calibri" w:eastAsia="Calibri" w:hAnsi="Calibri"/>
          <w:color w:val="333333"/>
          <w:sz w:val="22"/>
          <w:szCs w:val="22"/>
        </w:rPr>
        <w:t xml:space="preserve">Our proposed team comprises experienced professionals with deep expertise in large-scale CRM implementations for manufacturing enterprises. The team is structured to support the multi-region deployment timeline with dedicated workstreams for technical delivery, data migration, integration, and change management.</w:t>
      </w:r>
    </w:p>
    <w:p>
      <w:pPr>
        <w:pStyle w:val="Heading2"/>
        <w:spacing w:after="160"/>
      </w:pPr>
      <w:r>
        <w:rPr>
          <w:rFonts w:ascii="Calibri" w:cs="Calibri" w:eastAsia="Calibri" w:hAnsi="Calibri"/>
          <w:b/>
          <w:bCs/>
          <w:color w:val="1B3A5C"/>
          <w:sz w:val="28"/>
          <w:szCs w:val="28"/>
        </w:rPr>
        <w:t xml:space="preserve">Core Team 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shd w:fill="1B3A5C" w:val="clear"/>
          </w:tcPr>
          <w:p>
            <w:pPr>
              <w:jc w:val="center"/>
            </w:pPr>
            <w:r>
              <w:rPr>
                <w:rFonts w:ascii="Calibri" w:cs="Calibri" w:eastAsia="Calibri" w:hAnsi="Calibri"/>
                <w:b/>
                <w:bCs/>
                <w:color w:val="FFFFFF"/>
                <w:sz w:val="20"/>
                <w:szCs w:val="20"/>
              </w:rPr>
              <w:t xml:space="preserve">Role</w:t>
            </w:r>
          </w:p>
        </w:tc>
        <w:tc>
          <w:tcPr>
            <w:tcW w:type="dxa" w:w="2340"/>
            <w:shd w:fill="1B3A5C" w:val="clear"/>
          </w:tcPr>
          <w:p>
            <w:pPr>
              <w:jc w:val="center"/>
            </w:pPr>
            <w:r>
              <w:rPr>
                <w:rFonts w:ascii="Calibri" w:cs="Calibri" w:eastAsia="Calibri" w:hAnsi="Calibri"/>
                <w:b/>
                <w:bCs/>
                <w:color w:val="FFFFFF"/>
                <w:sz w:val="20"/>
                <w:szCs w:val="20"/>
              </w:rPr>
              <w:t xml:space="preserve">Count</w:t>
            </w:r>
          </w:p>
        </w:tc>
        <w:tc>
          <w:tcPr>
            <w:tcW w:type="dxa" w:w="2340"/>
            <w:shd w:fill="1B3A5C" w:val="clear"/>
          </w:tcPr>
          <w:p>
            <w:pPr>
              <w:jc w:val="center"/>
            </w:pPr>
            <w:r>
              <w:rPr>
                <w:rFonts w:ascii="Calibri" w:cs="Calibri" w:eastAsia="Calibri" w:hAnsi="Calibri"/>
                <w:b/>
                <w:bCs/>
                <w:color w:val="FFFFFF"/>
                <w:sz w:val="20"/>
                <w:szCs w:val="20"/>
              </w:rPr>
              <w:t xml:space="preserve">Commitment</w:t>
            </w:r>
          </w:p>
        </w:tc>
        <w:tc>
          <w:tcPr>
            <w:tcW w:type="dxa" w:w="2340"/>
            <w:shd w:fill="1B3A5C" w:val="clear"/>
          </w:tcPr>
          <w:p>
            <w:pPr>
              <w:jc w:val="center"/>
            </w:pPr>
            <w:r>
              <w:rPr>
                <w:rFonts w:ascii="Calibri" w:cs="Calibri" w:eastAsia="Calibri" w:hAnsi="Calibri"/>
                <w:b/>
                <w:bCs/>
                <w:color w:val="FFFFFF"/>
                <w:sz w:val="20"/>
                <w:szCs w:val="20"/>
              </w:rPr>
              <w:t xml:space="preserve">Key Qualifications</w:t>
            </w:r>
          </w:p>
        </w:tc>
      </w:tr>
      <w:tr>
        <w:tc>
          <w:tcPr>
            <w:tcW w:type="dxa" w:w="2340"/>
          </w:tcPr>
          <w:p>
            <w:pPr>
              <w:jc w:val="left"/>
            </w:pPr>
            <w:r>
              <w:rPr>
                <w:rFonts w:ascii="Calibri" w:cs="Calibri" w:eastAsia="Calibri" w:hAnsi="Calibri"/>
                <w:b w:val="false"/>
                <w:bCs w:val="false"/>
                <w:color w:val="333333"/>
                <w:sz w:val="20"/>
                <w:szCs w:val="20"/>
              </w:rPr>
              <w:t xml:space="preserve">Program Manager</w:t>
            </w:r>
          </w:p>
        </w:tc>
        <w:tc>
          <w:tcPr>
            <w:tcW w:type="dxa" w:w="2340"/>
          </w:tcPr>
          <w:p>
            <w:pPr>
              <w:jc w:val="left"/>
            </w:pPr>
            <w:r>
              <w:rPr>
                <w:rFonts w:ascii="Calibri" w:cs="Calibri" w:eastAsia="Calibri" w:hAnsi="Calibri"/>
                <w:b w:val="false"/>
                <w:bCs w:val="false"/>
                <w:color w:val="333333"/>
                <w:sz w:val="20"/>
                <w:szCs w:val="20"/>
              </w:rPr>
              <w:t xml:space="preserve">1</w:t>
            </w:r>
          </w:p>
        </w:tc>
        <w:tc>
          <w:tcPr>
            <w:tcW w:type="dxa" w:w="2340"/>
          </w:tcPr>
          <w:p>
            <w:pPr>
              <w:jc w:val="left"/>
            </w:pPr>
            <w:r>
              <w:rPr>
                <w:rFonts w:ascii="Calibri" w:cs="Calibri" w:eastAsia="Calibri" w:hAnsi="Calibri"/>
                <w:b w:val="false"/>
                <w:bCs w:val="false"/>
                <w:color w:val="333333"/>
                <w:sz w:val="20"/>
                <w:szCs w:val="20"/>
              </w:rPr>
              <w:t xml:space="preserve">100%</w:t>
            </w:r>
          </w:p>
        </w:tc>
        <w:tc>
          <w:tcPr>
            <w:tcW w:type="dxa" w:w="2340"/>
          </w:tcPr>
          <w:p>
            <w:pPr>
              <w:jc w:val="left"/>
            </w:pPr>
            <w:r>
              <w:rPr>
                <w:rFonts w:ascii="Calibri" w:cs="Calibri" w:eastAsia="Calibri" w:hAnsi="Calibri"/>
                <w:b w:val="false"/>
                <w:bCs w:val="false"/>
                <w:color w:val="333333"/>
                <w:sz w:val="20"/>
                <w:szCs w:val="20"/>
              </w:rPr>
              <w:t xml:space="preserve">PMP/PgMP, 15+ yrs, manufacturing sector experience</w:t>
            </w:r>
          </w:p>
        </w:tc>
      </w:tr>
      <w:tr>
        <w:tc>
          <w:tcPr>
            <w:tcW w:type="dxa" w:w="2340"/>
            <w:shd w:fill="F5F5F5" w:val="clear"/>
          </w:tcPr>
          <w:p>
            <w:pPr>
              <w:jc w:val="left"/>
            </w:pPr>
            <w:r>
              <w:rPr>
                <w:rFonts w:ascii="Calibri" w:cs="Calibri" w:eastAsia="Calibri" w:hAnsi="Calibri"/>
                <w:b w:val="false"/>
                <w:bCs w:val="false"/>
                <w:color w:val="333333"/>
                <w:sz w:val="20"/>
                <w:szCs w:val="20"/>
              </w:rPr>
              <w:t xml:space="preserve">Solution Architect</w:t>
            </w:r>
          </w:p>
        </w:tc>
        <w:tc>
          <w:tcPr>
            <w:tcW w:type="dxa" w:w="2340"/>
            <w:shd w:fill="F5F5F5" w:val="clear"/>
          </w:tcPr>
          <w:p>
            <w:pPr>
              <w:jc w:val="left"/>
            </w:pPr>
            <w:r>
              <w:rPr>
                <w:rFonts w:ascii="Calibri" w:cs="Calibri" w:eastAsia="Calibri" w:hAnsi="Calibri"/>
                <w:b w:val="false"/>
                <w:bCs w:val="false"/>
                <w:color w:val="333333"/>
                <w:sz w:val="20"/>
                <w:szCs w:val="20"/>
              </w:rPr>
              <w:t xml:space="preserve">1</w:t>
            </w:r>
          </w:p>
        </w:tc>
        <w:tc>
          <w:tcPr>
            <w:tcW w:type="dxa" w:w="2340"/>
            <w:shd w:fill="F5F5F5" w:val="clear"/>
          </w:tcPr>
          <w:p>
            <w:pPr>
              <w:jc w:val="left"/>
            </w:pPr>
            <w:r>
              <w:rPr>
                <w:rFonts w:ascii="Calibri" w:cs="Calibri" w:eastAsia="Calibri" w:hAnsi="Calibri"/>
                <w:b w:val="false"/>
                <w:bCs w:val="false"/>
                <w:color w:val="333333"/>
                <w:sz w:val="20"/>
                <w:szCs w:val="20"/>
              </w:rPr>
              <w:t xml:space="preserve">100%</w:t>
            </w:r>
          </w:p>
        </w:tc>
        <w:tc>
          <w:tcPr>
            <w:tcW w:type="dxa" w:w="2340"/>
            <w:shd w:fill="F5F5F5" w:val="clear"/>
          </w:tcPr>
          <w:p>
            <w:pPr>
              <w:jc w:val="left"/>
            </w:pPr>
            <w:r>
              <w:rPr>
                <w:rFonts w:ascii="Calibri" w:cs="Calibri" w:eastAsia="Calibri" w:hAnsi="Calibri"/>
                <w:b w:val="false"/>
                <w:bCs w:val="false"/>
                <w:color w:val="333333"/>
                <w:sz w:val="20"/>
                <w:szCs w:val="20"/>
              </w:rPr>
              <w:t xml:space="preserve">CRM platform certified, enterprise architecture</w:t>
            </w:r>
          </w:p>
        </w:tc>
      </w:tr>
      <w:tr>
        <w:tc>
          <w:tcPr>
            <w:tcW w:type="dxa" w:w="2340"/>
          </w:tcPr>
          <w:p>
            <w:pPr>
              <w:jc w:val="left"/>
            </w:pPr>
            <w:r>
              <w:rPr>
                <w:rFonts w:ascii="Calibri" w:cs="Calibri" w:eastAsia="Calibri" w:hAnsi="Calibri"/>
                <w:b w:val="false"/>
                <w:bCs w:val="false"/>
                <w:color w:val="333333"/>
                <w:sz w:val="20"/>
                <w:szCs w:val="20"/>
              </w:rPr>
              <w:t xml:space="preserve">Technical Lead</w:t>
            </w:r>
          </w:p>
        </w:tc>
        <w:tc>
          <w:tcPr>
            <w:tcW w:type="dxa" w:w="2340"/>
          </w:tcPr>
          <w:p>
            <w:pPr>
              <w:jc w:val="left"/>
            </w:pPr>
            <w:r>
              <w:rPr>
                <w:rFonts w:ascii="Calibri" w:cs="Calibri" w:eastAsia="Calibri" w:hAnsi="Calibri"/>
                <w:b w:val="false"/>
                <w:bCs w:val="false"/>
                <w:color w:val="333333"/>
                <w:sz w:val="20"/>
                <w:szCs w:val="20"/>
              </w:rPr>
              <w:t xml:space="preserve">1</w:t>
            </w:r>
          </w:p>
        </w:tc>
        <w:tc>
          <w:tcPr>
            <w:tcW w:type="dxa" w:w="2340"/>
          </w:tcPr>
          <w:p>
            <w:pPr>
              <w:jc w:val="left"/>
            </w:pPr>
            <w:r>
              <w:rPr>
                <w:rFonts w:ascii="Calibri" w:cs="Calibri" w:eastAsia="Calibri" w:hAnsi="Calibri"/>
                <w:b w:val="false"/>
                <w:bCs w:val="false"/>
                <w:color w:val="333333"/>
                <w:sz w:val="20"/>
                <w:szCs w:val="20"/>
              </w:rPr>
              <w:t xml:space="preserve">100%</w:t>
            </w:r>
          </w:p>
        </w:tc>
        <w:tc>
          <w:tcPr>
            <w:tcW w:type="dxa" w:w="2340"/>
          </w:tcPr>
          <w:p>
            <w:pPr>
              <w:jc w:val="left"/>
            </w:pPr>
            <w:r>
              <w:rPr>
                <w:rFonts w:ascii="Calibri" w:cs="Calibri" w:eastAsia="Calibri" w:hAnsi="Calibri"/>
                <w:b w:val="false"/>
                <w:bCs w:val="false"/>
                <w:color w:val="333333"/>
                <w:sz w:val="20"/>
                <w:szCs w:val="20"/>
              </w:rPr>
              <w:t xml:space="preserve">10+ yrs CRM development, integration expertise</w:t>
            </w:r>
          </w:p>
        </w:tc>
      </w:tr>
      <w:tr>
        <w:tc>
          <w:tcPr>
            <w:tcW w:type="dxa" w:w="2340"/>
            <w:shd w:fill="F5F5F5" w:val="clear"/>
          </w:tcPr>
          <w:p>
            <w:pPr>
              <w:jc w:val="left"/>
            </w:pPr>
            <w:r>
              <w:rPr>
                <w:rFonts w:ascii="Calibri" w:cs="Calibri" w:eastAsia="Calibri" w:hAnsi="Calibri"/>
                <w:b w:val="false"/>
                <w:bCs w:val="false"/>
                <w:color w:val="333333"/>
                <w:sz w:val="20"/>
                <w:szCs w:val="20"/>
              </w:rPr>
              <w:t xml:space="preserve">Change Management Lead</w:t>
            </w:r>
          </w:p>
        </w:tc>
        <w:tc>
          <w:tcPr>
            <w:tcW w:type="dxa" w:w="2340"/>
            <w:shd w:fill="F5F5F5" w:val="clear"/>
          </w:tcPr>
          <w:p>
            <w:pPr>
              <w:jc w:val="left"/>
            </w:pPr>
            <w:r>
              <w:rPr>
                <w:rFonts w:ascii="Calibri" w:cs="Calibri" w:eastAsia="Calibri" w:hAnsi="Calibri"/>
                <w:b w:val="false"/>
                <w:bCs w:val="false"/>
                <w:color w:val="333333"/>
                <w:sz w:val="20"/>
                <w:szCs w:val="20"/>
              </w:rPr>
              <w:t xml:space="preserve">1</w:t>
            </w:r>
          </w:p>
        </w:tc>
        <w:tc>
          <w:tcPr>
            <w:tcW w:type="dxa" w:w="2340"/>
            <w:shd w:fill="F5F5F5" w:val="clear"/>
          </w:tcPr>
          <w:p>
            <w:pPr>
              <w:jc w:val="left"/>
            </w:pPr>
            <w:r>
              <w:rPr>
                <w:rFonts w:ascii="Calibri" w:cs="Calibri" w:eastAsia="Calibri" w:hAnsi="Calibri"/>
                <w:b w:val="false"/>
                <w:bCs w:val="false"/>
                <w:color w:val="333333"/>
                <w:sz w:val="20"/>
                <w:szCs w:val="20"/>
              </w:rPr>
              <w:t xml:space="preserve">100%</w:t>
            </w:r>
          </w:p>
        </w:tc>
        <w:tc>
          <w:tcPr>
            <w:tcW w:type="dxa" w:w="2340"/>
            <w:shd w:fill="F5F5F5" w:val="clear"/>
          </w:tcPr>
          <w:p>
            <w:pPr>
              <w:jc w:val="left"/>
            </w:pPr>
            <w:r>
              <w:rPr>
                <w:rFonts w:ascii="Calibri" w:cs="Calibri" w:eastAsia="Calibri" w:hAnsi="Calibri"/>
                <w:b w:val="false"/>
                <w:bCs w:val="false"/>
                <w:color w:val="333333"/>
                <w:sz w:val="20"/>
                <w:szCs w:val="20"/>
              </w:rPr>
              <w:t xml:space="preserve">Prosci certified, global change programs</w:t>
            </w:r>
          </w:p>
        </w:tc>
      </w:tr>
      <w:tr>
        <w:tc>
          <w:tcPr>
            <w:tcW w:type="dxa" w:w="2340"/>
          </w:tcPr>
          <w:p>
            <w:pPr>
              <w:jc w:val="left"/>
            </w:pPr>
            <w:r>
              <w:rPr>
                <w:rFonts w:ascii="Calibri" w:cs="Calibri" w:eastAsia="Calibri" w:hAnsi="Calibri"/>
                <w:b w:val="false"/>
                <w:bCs w:val="false"/>
                <w:color w:val="333333"/>
                <w:sz w:val="20"/>
                <w:szCs w:val="20"/>
              </w:rPr>
              <w:t xml:space="preserve">Data Migration Lead</w:t>
            </w:r>
          </w:p>
        </w:tc>
        <w:tc>
          <w:tcPr>
            <w:tcW w:type="dxa" w:w="2340"/>
          </w:tcPr>
          <w:p>
            <w:pPr>
              <w:jc w:val="left"/>
            </w:pPr>
            <w:r>
              <w:rPr>
                <w:rFonts w:ascii="Calibri" w:cs="Calibri" w:eastAsia="Calibri" w:hAnsi="Calibri"/>
                <w:b w:val="false"/>
                <w:bCs w:val="false"/>
                <w:color w:val="333333"/>
                <w:sz w:val="20"/>
                <w:szCs w:val="20"/>
              </w:rPr>
              <w:t xml:space="preserve">1</w:t>
            </w:r>
          </w:p>
        </w:tc>
        <w:tc>
          <w:tcPr>
            <w:tcW w:type="dxa" w:w="2340"/>
          </w:tcPr>
          <w:p>
            <w:pPr>
              <w:jc w:val="left"/>
            </w:pPr>
            <w:r>
              <w:rPr>
                <w:rFonts w:ascii="Calibri" w:cs="Calibri" w:eastAsia="Calibri" w:hAnsi="Calibri"/>
                <w:b w:val="false"/>
                <w:bCs w:val="false"/>
                <w:color w:val="333333"/>
                <w:sz w:val="20"/>
                <w:szCs w:val="20"/>
              </w:rPr>
              <w:t xml:space="preserve">80%</w:t>
            </w:r>
          </w:p>
        </w:tc>
        <w:tc>
          <w:tcPr>
            <w:tcW w:type="dxa" w:w="2340"/>
          </w:tcPr>
          <w:p>
            <w:pPr>
              <w:jc w:val="left"/>
            </w:pPr>
            <w:r>
              <w:rPr>
                <w:rFonts w:ascii="Calibri" w:cs="Calibri" w:eastAsia="Calibri" w:hAnsi="Calibri"/>
                <w:b w:val="false"/>
                <w:bCs w:val="false"/>
                <w:color w:val="333333"/>
                <w:sz w:val="20"/>
                <w:szCs w:val="20"/>
              </w:rPr>
              <w:t xml:space="preserve">ETL/data quality, Salesforce + Dynamics migration</w:t>
            </w:r>
          </w:p>
        </w:tc>
      </w:tr>
      <w:tr>
        <w:tc>
          <w:tcPr>
            <w:tcW w:type="dxa" w:w="2340"/>
            <w:shd w:fill="F5F5F5" w:val="clear"/>
          </w:tcPr>
          <w:p>
            <w:pPr>
              <w:jc w:val="left"/>
            </w:pPr>
            <w:r>
              <w:rPr>
                <w:rFonts w:ascii="Calibri" w:cs="Calibri" w:eastAsia="Calibri" w:hAnsi="Calibri"/>
                <w:b w:val="false"/>
                <w:bCs w:val="false"/>
                <w:color w:val="333333"/>
                <w:sz w:val="20"/>
                <w:szCs w:val="20"/>
              </w:rPr>
              <w:t xml:space="preserve">Integration Architect</w:t>
            </w:r>
          </w:p>
        </w:tc>
        <w:tc>
          <w:tcPr>
            <w:tcW w:type="dxa" w:w="2340"/>
            <w:shd w:fill="F5F5F5" w:val="clear"/>
          </w:tcPr>
          <w:p>
            <w:pPr>
              <w:jc w:val="left"/>
            </w:pPr>
            <w:r>
              <w:rPr>
                <w:rFonts w:ascii="Calibri" w:cs="Calibri" w:eastAsia="Calibri" w:hAnsi="Calibri"/>
                <w:b w:val="false"/>
                <w:bCs w:val="false"/>
                <w:color w:val="333333"/>
                <w:sz w:val="20"/>
                <w:szCs w:val="20"/>
              </w:rPr>
              <w:t xml:space="preserve">1</w:t>
            </w:r>
          </w:p>
        </w:tc>
        <w:tc>
          <w:tcPr>
            <w:tcW w:type="dxa" w:w="2340"/>
            <w:shd w:fill="F5F5F5" w:val="clear"/>
          </w:tcPr>
          <w:p>
            <w:pPr>
              <w:jc w:val="left"/>
            </w:pPr>
            <w:r>
              <w:rPr>
                <w:rFonts w:ascii="Calibri" w:cs="Calibri" w:eastAsia="Calibri" w:hAnsi="Calibri"/>
                <w:b w:val="false"/>
                <w:bCs w:val="false"/>
                <w:color w:val="333333"/>
                <w:sz w:val="20"/>
                <w:szCs w:val="20"/>
              </w:rPr>
              <w:t xml:space="preserve">60%</w:t>
            </w:r>
          </w:p>
        </w:tc>
        <w:tc>
          <w:tcPr>
            <w:tcW w:type="dxa" w:w="2340"/>
            <w:shd w:fill="F5F5F5" w:val="clear"/>
          </w:tcPr>
          <w:p>
            <w:pPr>
              <w:jc w:val="left"/>
            </w:pPr>
            <w:r>
              <w:rPr>
                <w:rFonts w:ascii="Calibri" w:cs="Calibri" w:eastAsia="Calibri" w:hAnsi="Calibri"/>
                <w:b w:val="false"/>
                <w:bCs w:val="false"/>
                <w:color w:val="333333"/>
                <w:sz w:val="20"/>
                <w:szCs w:val="20"/>
              </w:rPr>
              <w:t xml:space="preserve">MuleSoft/Boomi certified, SAP integration</w:t>
            </w:r>
          </w:p>
        </w:tc>
      </w:tr>
      <w:tr>
        <w:tc>
          <w:tcPr>
            <w:tcW w:type="dxa" w:w="2340"/>
          </w:tcPr>
          <w:p>
            <w:pPr>
              <w:jc w:val="left"/>
            </w:pPr>
            <w:r>
              <w:rPr>
                <w:rFonts w:ascii="Calibri" w:cs="Calibri" w:eastAsia="Calibri" w:hAnsi="Calibri"/>
                <w:b w:val="false"/>
                <w:bCs w:val="false"/>
                <w:color w:val="333333"/>
                <w:sz w:val="20"/>
                <w:szCs w:val="20"/>
              </w:rPr>
              <w:t xml:space="preserve">Senior Developers</w:t>
            </w:r>
          </w:p>
        </w:tc>
        <w:tc>
          <w:tcPr>
            <w:tcW w:type="dxa" w:w="2340"/>
          </w:tcPr>
          <w:p>
            <w:pPr>
              <w:jc w:val="left"/>
            </w:pPr>
            <w:r>
              <w:rPr>
                <w:rFonts w:ascii="Calibri" w:cs="Calibri" w:eastAsia="Calibri" w:hAnsi="Calibri"/>
                <w:b w:val="false"/>
                <w:bCs w:val="false"/>
                <w:color w:val="333333"/>
                <w:sz w:val="20"/>
                <w:szCs w:val="20"/>
              </w:rPr>
              <w:t xml:space="preserve">4</w:t>
            </w:r>
          </w:p>
        </w:tc>
        <w:tc>
          <w:tcPr>
            <w:tcW w:type="dxa" w:w="2340"/>
          </w:tcPr>
          <w:p>
            <w:pPr>
              <w:jc w:val="left"/>
            </w:pPr>
            <w:r>
              <w:rPr>
                <w:rFonts w:ascii="Calibri" w:cs="Calibri" w:eastAsia="Calibri" w:hAnsi="Calibri"/>
                <w:b w:val="false"/>
                <w:bCs w:val="false"/>
                <w:color w:val="333333"/>
                <w:sz w:val="20"/>
                <w:szCs w:val="20"/>
              </w:rPr>
              <w:t xml:space="preserve">100%</w:t>
            </w:r>
          </w:p>
        </w:tc>
        <w:tc>
          <w:tcPr>
            <w:tcW w:type="dxa" w:w="2340"/>
          </w:tcPr>
          <w:p>
            <w:pPr>
              <w:jc w:val="left"/>
            </w:pPr>
            <w:r>
              <w:rPr>
                <w:rFonts w:ascii="Calibri" w:cs="Calibri" w:eastAsia="Calibri" w:hAnsi="Calibri"/>
                <w:b w:val="false"/>
                <w:bCs w:val="false"/>
                <w:color w:val="333333"/>
                <w:sz w:val="20"/>
                <w:szCs w:val="20"/>
              </w:rPr>
              <w:t xml:space="preserve">CRM platform certified, 5+ yrs each</w:t>
            </w:r>
          </w:p>
        </w:tc>
      </w:tr>
      <w:tr>
        <w:tc>
          <w:tcPr>
            <w:tcW w:type="dxa" w:w="2340"/>
            <w:shd w:fill="F5F5F5" w:val="clear"/>
          </w:tcPr>
          <w:p>
            <w:pPr>
              <w:jc w:val="left"/>
            </w:pPr>
            <w:r>
              <w:rPr>
                <w:rFonts w:ascii="Calibri" w:cs="Calibri" w:eastAsia="Calibri" w:hAnsi="Calibri"/>
                <w:b w:val="false"/>
                <w:bCs w:val="false"/>
                <w:color w:val="333333"/>
                <w:sz w:val="20"/>
                <w:szCs w:val="20"/>
              </w:rPr>
              <w:t xml:space="preserve">QA Lead</w:t>
            </w:r>
          </w:p>
        </w:tc>
        <w:tc>
          <w:tcPr>
            <w:tcW w:type="dxa" w:w="2340"/>
            <w:shd w:fill="F5F5F5" w:val="clear"/>
          </w:tcPr>
          <w:p>
            <w:pPr>
              <w:jc w:val="left"/>
            </w:pPr>
            <w:r>
              <w:rPr>
                <w:rFonts w:ascii="Calibri" w:cs="Calibri" w:eastAsia="Calibri" w:hAnsi="Calibri"/>
                <w:b w:val="false"/>
                <w:bCs w:val="false"/>
                <w:color w:val="333333"/>
                <w:sz w:val="20"/>
                <w:szCs w:val="20"/>
              </w:rPr>
              <w:t xml:space="preserve">1</w:t>
            </w:r>
          </w:p>
        </w:tc>
        <w:tc>
          <w:tcPr>
            <w:tcW w:type="dxa" w:w="2340"/>
            <w:shd w:fill="F5F5F5" w:val="clear"/>
          </w:tcPr>
          <w:p>
            <w:pPr>
              <w:jc w:val="left"/>
            </w:pPr>
            <w:r>
              <w:rPr>
                <w:rFonts w:ascii="Calibri" w:cs="Calibri" w:eastAsia="Calibri" w:hAnsi="Calibri"/>
                <w:b w:val="false"/>
                <w:bCs w:val="false"/>
                <w:color w:val="333333"/>
                <w:sz w:val="20"/>
                <w:szCs w:val="20"/>
              </w:rPr>
              <w:t xml:space="preserve">100%</w:t>
            </w:r>
          </w:p>
        </w:tc>
        <w:tc>
          <w:tcPr>
            <w:tcW w:type="dxa" w:w="2340"/>
            <w:shd w:fill="F5F5F5" w:val="clear"/>
          </w:tcPr>
          <w:p>
            <w:pPr>
              <w:jc w:val="left"/>
            </w:pPr>
            <w:r>
              <w:rPr>
                <w:rFonts w:ascii="Calibri" w:cs="Calibri" w:eastAsia="Calibri" w:hAnsi="Calibri"/>
                <w:b w:val="false"/>
                <w:bCs w:val="false"/>
                <w:color w:val="333333"/>
                <w:sz w:val="20"/>
                <w:szCs w:val="20"/>
              </w:rPr>
              <w:t xml:space="preserve">ISTQB certified, performance testing</w:t>
            </w:r>
          </w:p>
        </w:tc>
      </w:tr>
      <w:tr>
        <w:tc>
          <w:tcPr>
            <w:tcW w:type="dxa" w:w="2340"/>
          </w:tcPr>
          <w:p>
            <w:pPr>
              <w:jc w:val="left"/>
            </w:pPr>
            <w:r>
              <w:rPr>
                <w:rFonts w:ascii="Calibri" w:cs="Calibri" w:eastAsia="Calibri" w:hAnsi="Calibri"/>
                <w:b w:val="false"/>
                <w:bCs w:val="false"/>
                <w:color w:val="333333"/>
                <w:sz w:val="20"/>
                <w:szCs w:val="20"/>
              </w:rPr>
              <w:t xml:space="preserve">Training Lead</w:t>
            </w:r>
          </w:p>
        </w:tc>
        <w:tc>
          <w:tcPr>
            <w:tcW w:type="dxa" w:w="2340"/>
          </w:tcPr>
          <w:p>
            <w:pPr>
              <w:jc w:val="left"/>
            </w:pPr>
            <w:r>
              <w:rPr>
                <w:rFonts w:ascii="Calibri" w:cs="Calibri" w:eastAsia="Calibri" w:hAnsi="Calibri"/>
                <w:b w:val="false"/>
                <w:bCs w:val="false"/>
                <w:color w:val="333333"/>
                <w:sz w:val="20"/>
                <w:szCs w:val="20"/>
              </w:rPr>
              <w:t xml:space="preserve">1</w:t>
            </w:r>
          </w:p>
        </w:tc>
        <w:tc>
          <w:tcPr>
            <w:tcW w:type="dxa" w:w="2340"/>
          </w:tcPr>
          <w:p>
            <w:pPr>
              <w:jc w:val="left"/>
            </w:pPr>
            <w:r>
              <w:rPr>
                <w:rFonts w:ascii="Calibri" w:cs="Calibri" w:eastAsia="Calibri" w:hAnsi="Calibri"/>
                <w:b w:val="false"/>
                <w:bCs w:val="false"/>
                <w:color w:val="333333"/>
                <w:sz w:val="20"/>
                <w:szCs w:val="20"/>
              </w:rPr>
              <w:t xml:space="preserve">80%</w:t>
            </w:r>
          </w:p>
        </w:tc>
        <w:tc>
          <w:tcPr>
            <w:tcW w:type="dxa" w:w="2340"/>
          </w:tcPr>
          <w:p>
            <w:pPr>
              <w:jc w:val="left"/>
            </w:pPr>
            <w:r>
              <w:rPr>
                <w:rFonts w:ascii="Calibri" w:cs="Calibri" w:eastAsia="Calibri" w:hAnsi="Calibri"/>
                <w:b w:val="false"/>
                <w:bCs w:val="false"/>
                <w:color w:val="333333"/>
                <w:sz w:val="20"/>
                <w:szCs w:val="20"/>
              </w:rPr>
              <w:t xml:space="preserve">Multi-language training programs</w:t>
            </w:r>
          </w:p>
        </w:tc>
      </w:tr>
      <w:tr>
        <w:tc>
          <w:tcPr>
            <w:tcW w:type="dxa" w:w="2340"/>
            <w:shd w:fill="F5F5F5" w:val="clear"/>
          </w:tcPr>
          <w:p>
            <w:pPr>
              <w:jc w:val="left"/>
            </w:pPr>
            <w:r>
              <w:rPr>
                <w:rFonts w:ascii="Calibri" w:cs="Calibri" w:eastAsia="Calibri" w:hAnsi="Calibri"/>
                <w:b w:val="false"/>
                <w:bCs w:val="false"/>
                <w:color w:val="333333"/>
                <w:sz w:val="20"/>
                <w:szCs w:val="20"/>
              </w:rPr>
              <w:t xml:space="preserve">Regional Deployment Leads</w:t>
            </w:r>
          </w:p>
        </w:tc>
        <w:tc>
          <w:tcPr>
            <w:tcW w:type="dxa" w:w="2340"/>
            <w:shd w:fill="F5F5F5" w:val="clear"/>
          </w:tcPr>
          <w:p>
            <w:pPr>
              <w:jc w:val="left"/>
            </w:pPr>
            <w:r>
              <w:rPr>
                <w:rFonts w:ascii="Calibri" w:cs="Calibri" w:eastAsia="Calibri" w:hAnsi="Calibri"/>
                <w:b w:val="false"/>
                <w:bCs w:val="false"/>
                <w:color w:val="333333"/>
                <w:sz w:val="20"/>
                <w:szCs w:val="20"/>
              </w:rPr>
              <w:t xml:space="preserve">3</w:t>
            </w:r>
          </w:p>
        </w:tc>
        <w:tc>
          <w:tcPr>
            <w:tcW w:type="dxa" w:w="2340"/>
            <w:shd w:fill="F5F5F5" w:val="clear"/>
          </w:tcPr>
          <w:p>
            <w:pPr>
              <w:jc w:val="left"/>
            </w:pPr>
            <w:r>
              <w:rPr>
                <w:rFonts w:ascii="Calibri" w:cs="Calibri" w:eastAsia="Calibri" w:hAnsi="Calibri"/>
                <w:b w:val="false"/>
                <w:bCs w:val="false"/>
                <w:color w:val="333333"/>
                <w:sz w:val="20"/>
                <w:szCs w:val="20"/>
              </w:rPr>
              <w:t xml:space="preserve">Phased</w:t>
            </w:r>
          </w:p>
        </w:tc>
        <w:tc>
          <w:tcPr>
            <w:tcW w:type="dxa" w:w="2340"/>
            <w:shd w:fill="F5F5F5" w:val="clear"/>
          </w:tcPr>
          <w:p>
            <w:pPr>
              <w:jc w:val="left"/>
            </w:pPr>
            <w:r>
              <w:rPr>
                <w:rFonts w:ascii="Calibri" w:cs="Calibri" w:eastAsia="Calibri" w:hAnsi="Calibri"/>
                <w:b w:val="false"/>
                <w:bCs w:val="false"/>
                <w:color w:val="333333"/>
                <w:sz w:val="20"/>
                <w:szCs w:val="20"/>
              </w:rPr>
              <w:t xml:space="preserve">EMEA, APAC, LATAM regional expertise</w:t>
            </w:r>
          </w:p>
        </w:tc>
      </w:tr>
    </w:tbl>
    <w:p>
      <w:pPr>
        <w:shd w:fill="FFE0E0" w:val="clear"/>
        <w:spacing w:after="120" w:line="276"/>
      </w:pPr>
      <w:r>
        <w:rPr>
          <w:rFonts w:ascii="Calibri" w:cs="Calibri" w:eastAsia="Calibri" w:hAnsi="Calibri"/>
          <w:b/>
          <w:bCs/>
          <w:color w:val="CC0000"/>
          <w:sz w:val="22"/>
          <w:szCs w:val="22"/>
        </w:rPr>
        <w:t xml:space="preserve">[REQUIRED: Named key personnel for Program Manager, Solution Architect, Technical Lead, and Change Management Lead (required per Section 8.4 Appendix E)]</w:t>
      </w:r>
    </w:p>
    <w:p>
      <w:pPr>
        <w:shd w:fill="FFE0E0" w:val="clear"/>
        <w:spacing w:after="120" w:line="276"/>
      </w:pPr>
      <w:r>
        <w:rPr>
          <w:rFonts w:ascii="Calibri" w:cs="Calibri" w:eastAsia="Calibri" w:hAnsi="Calibri"/>
          <w:b/>
          <w:bCs/>
          <w:color w:val="CC0000"/>
          <w:sz w:val="22"/>
          <w:szCs w:val="22"/>
        </w:rPr>
        <w:t xml:space="preserve">[REQUIRED: Full resumes for the 4 key personnel positions (Appendix E)]</w:t>
      </w:r>
    </w:p>
    <w:p>
      <w:pPr>
        <w:shd w:fill="FFF9E0" w:val="clear"/>
        <w:spacing w:after="120" w:line="276"/>
      </w:pPr>
      <w:r>
        <w:rPr>
          <w:rFonts w:ascii="Calibri" w:cs="Calibri" w:eastAsia="Calibri" w:hAnsi="Calibri"/>
          <w:b w:val="false"/>
          <w:bCs w:val="false"/>
          <w:color w:val="996600"/>
          <w:sz w:val="22"/>
          <w:szCs w:val="22"/>
        </w:rPr>
        <w:t xml:space="preserve">[SUGGESTED: Organizational chart showing team structure and reporting lines]</w:t>
      </w:r>
    </w:p>
    <w:p>
      <w:pPr>
        <w:pStyle w:val="Heading1"/>
        <w:spacing w:after="200" w:before="400"/>
      </w:pPr>
      <w:r>
        <w:rPr>
          <w:rFonts w:ascii="Calibri" w:cs="Calibri" w:eastAsia="Calibri" w:hAnsi="Calibri"/>
          <w:b/>
          <w:bCs/>
          <w:color w:val="1B3A5C"/>
          <w:sz w:val="36"/>
          <w:szCs w:val="36"/>
        </w:rPr>
        <w:t xml:space="preserve">7. Past Performance</w:t>
      </w:r>
    </w:p>
    <w:p>
      <w:pPr>
        <w:spacing w:after="120" w:line="276"/>
      </w:pPr>
      <w:r>
        <w:rPr>
          <w:rFonts w:ascii="Calibri" w:cs="Calibri" w:eastAsia="Calibri" w:hAnsi="Calibri"/>
          <w:color w:val="333333"/>
          <w:sz w:val="22"/>
          <w:szCs w:val="22"/>
        </w:rPr>
        <w:t xml:space="preserve">The following case studies demonstrate our proven capability in delivering enterprise CRM implementations of comparable scale, complexity, and industry relevance. Per the RFP's reference requirements (Section 4.2), we provide 5 references meeting the specified criteria for size (3,000+ users), industry (manufacturing), and geographic scope (multi-continent).</w:t>
      </w:r>
    </w:p>
    <w:p>
      <w:pPr>
        <w:shd w:fill="FFE0E0" w:val="clear"/>
        <w:spacing w:after="120" w:line="276"/>
      </w:pPr>
      <w:r>
        <w:rPr>
          <w:rFonts w:ascii="Calibri" w:cs="Calibri" w:eastAsia="Calibri" w:hAnsi="Calibri"/>
          <w:b/>
          <w:bCs/>
          <w:color w:val="CC0000"/>
          <w:sz w:val="22"/>
          <w:szCs w:val="22"/>
        </w:rPr>
        <w:t xml:space="preserve">[REQUIRED: Case Study 1: Manufacturing company, 3,500+ CRM users, multi-region deployment spanning 3+ continents. Include: client name, contract value, team size, technologies, key outcomes with metrics, reference contact. Match to RFP requirement for size + industry + geography.]</w:t>
      </w:r>
    </w:p>
    <w:p>
      <w:pPr>
        <w:shd w:fill="FFE0E0" w:val="clear"/>
        <w:spacing w:after="120" w:line="276"/>
      </w:pPr>
      <w:r>
        <w:rPr>
          <w:rFonts w:ascii="Calibri" w:cs="Calibri" w:eastAsia="Calibri" w:hAnsi="Calibri"/>
          <w:b/>
          <w:bCs/>
          <w:color w:val="CC0000"/>
          <w:sz w:val="22"/>
          <w:szCs w:val="22"/>
        </w:rPr>
        <w:t xml:space="preserve">[REQUIRED: Case Study 2: Manufacturing/industrial company, 3,000+ CRM users, data migration from Salesforce + Dynamics. Include: client name, migration scope, data quality improvements, adoption metrics, reference contact.]</w:t>
      </w:r>
    </w:p>
    <w:p>
      <w:pPr>
        <w:shd w:fill="FFE0E0" w:val="clear"/>
        <w:spacing w:after="120" w:line="276"/>
      </w:pPr>
      <w:r>
        <w:rPr>
          <w:rFonts w:ascii="Calibri" w:cs="Calibri" w:eastAsia="Calibri" w:hAnsi="Calibri"/>
          <w:b/>
          <w:bCs/>
          <w:color w:val="CC0000"/>
          <w:sz w:val="22"/>
          <w:szCs w:val="22"/>
        </w:rPr>
        <w:t xml:space="preserve">[REQUIRED: Case Study 3: Enterprise CRM deployment, 4,000+ users, SAP ERP integration. Include: client name, integration complexity, performance outcomes, reference contact.]</w:t>
      </w:r>
    </w:p>
    <w:p>
      <w:pPr>
        <w:shd w:fill="FFE0E0" w:val="clear"/>
        <w:spacing w:after="120" w:line="276"/>
      </w:pPr>
      <w:r>
        <w:rPr>
          <w:rFonts w:ascii="Calibri" w:cs="Calibri" w:eastAsia="Calibri" w:hAnsi="Calibri"/>
          <w:b/>
          <w:bCs/>
          <w:color w:val="CC0000"/>
          <w:sz w:val="22"/>
          <w:szCs w:val="22"/>
        </w:rPr>
        <w:t xml:space="preserve">[REQUIRED: Case Study 4: Global deployment across 20+ countries with multi-language training and change management. Include: adoption rates achieved, training approach, reference contact.]</w:t>
      </w:r>
    </w:p>
    <w:p>
      <w:pPr>
        <w:shd w:fill="FFE0E0" w:val="clear"/>
        <w:spacing w:after="120" w:line="276"/>
      </w:pPr>
      <w:r>
        <w:rPr>
          <w:rFonts w:ascii="Calibri" w:cs="Calibri" w:eastAsia="Calibri" w:hAnsi="Calibri"/>
          <w:b/>
          <w:bCs/>
          <w:color w:val="CC0000"/>
          <w:sz w:val="22"/>
          <w:szCs w:val="22"/>
        </w:rPr>
        <w:t xml:space="preserve">[REQUIRED: Case Study 5: Additional reference meeting size/industry/recency criteria. Include all reference form details.]</w:t>
      </w:r>
    </w:p>
    <w:p>
      <w:pPr>
        <w:spacing w:after="120" w:line="276"/>
      </w:pPr>
      <w:r>
        <w:rPr>
          <w:rFonts w:ascii="Calibri" w:cs="Calibri" w:eastAsia="Calibri" w:hAnsi="Calibri"/>
          <w:color w:val="333333"/>
          <w:sz w:val="22"/>
          <w:szCs w:val="22"/>
        </w:rPr>
        <w:t xml:space="preserve">Completed reference forms for all five references are included in Appendix C.</w:t>
      </w:r>
    </w:p>
    <w:p>
      <w:pPr>
        <w:pStyle w:val="Heading1"/>
        <w:spacing w:after="200" w:before="400"/>
      </w:pPr>
      <w:r>
        <w:rPr>
          <w:rFonts w:ascii="Calibri" w:cs="Calibri" w:eastAsia="Calibri" w:hAnsi="Calibri"/>
          <w:b/>
          <w:bCs/>
          <w:color w:val="1B3A5C"/>
          <w:sz w:val="36"/>
          <w:szCs w:val="36"/>
        </w:rPr>
        <w:t xml:space="preserve">8. Pricing &amp; Commercial Terms</w:t>
      </w:r>
    </w:p>
    <w:p>
      <w:pPr>
        <w:spacing w:after="120" w:line="276"/>
      </w:pPr>
      <w:r>
        <w:rPr>
          <w:rFonts w:ascii="Calibri" w:cs="Calibri" w:eastAsia="Calibri" w:hAnsi="Calibri"/>
          <w:color w:val="333333"/>
          <w:sz w:val="22"/>
          <w:szCs w:val="22"/>
        </w:rPr>
        <w:t xml:space="preserve">Our pricing is structured per the requirements outlined in Section 7 of the RFP, with milestone-based payments aligned to the payment schedule in Section 7.2. All prices are in USD.</w:t>
      </w:r>
    </w:p>
    <w:p>
      <w:pPr>
        <w:pStyle w:val="Heading2"/>
        <w:spacing w:after="160"/>
      </w:pPr>
      <w:r>
        <w:rPr>
          <w:rFonts w:ascii="Calibri" w:cs="Calibri" w:eastAsia="Calibri" w:hAnsi="Calibri"/>
          <w:b/>
          <w:bCs/>
          <w:color w:val="1B3A5C"/>
          <w:sz w:val="28"/>
          <w:szCs w:val="28"/>
        </w:rPr>
        <w:t xml:space="preserve">Pricing Summary</w:t>
      </w:r>
    </w:p>
    <w:p>
      <w:pPr>
        <w:shd w:fill="FFE0E0" w:val="clear"/>
        <w:spacing w:after="120" w:line="276"/>
      </w:pPr>
      <w:r>
        <w:rPr>
          <w:rFonts w:ascii="Calibri" w:cs="Calibri" w:eastAsia="Calibri" w:hAnsi="Calibri"/>
          <w:b/>
          <w:bCs/>
          <w:color w:val="CC0000"/>
          <w:sz w:val="22"/>
          <w:szCs w:val="22"/>
        </w:rPr>
        <w:t xml:space="preserve">[REQUIRED: Complete pricing breakdown per the RFP template: Sales User License (3,500), Marketing License (500), Service License (200), Executive License (150), Admin License (25), Integration License (20), Implementation Services, Data Migration, Integration Development, Training Program, Change Management, Annual Support, Environment Costs]</w:t>
      </w:r>
    </w:p>
    <w:p>
      <w:pPr>
        <w:pStyle w:val="Heading2"/>
        <w:spacing w:after="160"/>
      </w:pPr>
      <w:r>
        <w:rPr>
          <w:rFonts w:ascii="Calibri" w:cs="Calibri" w:eastAsia="Calibri" w:hAnsi="Calibri"/>
          <w:b/>
          <w:bCs/>
          <w:color w:val="1B3A5C"/>
          <w:sz w:val="28"/>
          <w:szCs w:val="28"/>
        </w:rPr>
        <w:t xml:space="preserve">Payment Schedule</w:t>
      </w:r>
    </w:p>
    <w:p>
      <w:pPr>
        <w:spacing w:after="120" w:line="276"/>
      </w:pPr>
      <w:r>
        <w:rPr>
          <w:rFonts w:ascii="Calibri" w:cs="Calibri" w:eastAsia="Calibri" w:hAnsi="Calibri"/>
          <w:color w:val="333333"/>
          <w:sz w:val="22"/>
          <w:szCs w:val="22"/>
        </w:rPr>
        <w:t xml:space="preserve">We accept Acme Corp's proposed milestone-based payment 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shd w:fill="1B3A5C" w:val="clear"/>
          </w:tcPr>
          <w:p>
            <w:pPr>
              <w:jc w:val="center"/>
            </w:pPr>
            <w:r>
              <w:rPr>
                <w:rFonts w:ascii="Calibri" w:cs="Calibri" w:eastAsia="Calibri" w:hAnsi="Calibri"/>
                <w:b/>
                <w:bCs/>
                <w:color w:val="FFFFFF"/>
                <w:sz w:val="20"/>
                <w:szCs w:val="20"/>
              </w:rPr>
              <w:t xml:space="preserve">Milestone</w:t>
            </w:r>
          </w:p>
        </w:tc>
        <w:tc>
          <w:tcPr>
            <w:tcW w:type="dxa" w:w="3120"/>
            <w:shd w:fill="1B3A5C" w:val="clear"/>
          </w:tcPr>
          <w:p>
            <w:pPr>
              <w:jc w:val="center"/>
            </w:pPr>
            <w:r>
              <w:rPr>
                <w:rFonts w:ascii="Calibri" w:cs="Calibri" w:eastAsia="Calibri" w:hAnsi="Calibri"/>
                <w:b/>
                <w:bCs/>
                <w:color w:val="FFFFFF"/>
                <w:sz w:val="20"/>
                <w:szCs w:val="20"/>
              </w:rPr>
              <w:t xml:space="preserve">Payment %</w:t>
            </w:r>
          </w:p>
        </w:tc>
        <w:tc>
          <w:tcPr>
            <w:tcW w:type="dxa" w:w="3120"/>
            <w:shd w:fill="1B3A5C" w:val="clear"/>
          </w:tcPr>
          <w:p>
            <w:pPr>
              <w:jc w:val="center"/>
            </w:pPr>
            <w:r>
              <w:rPr>
                <w:rFonts w:ascii="Calibri" w:cs="Calibri" w:eastAsia="Calibri" w:hAnsi="Calibri"/>
                <w:b/>
                <w:bCs/>
                <w:color w:val="FFFFFF"/>
                <w:sz w:val="20"/>
                <w:szCs w:val="20"/>
              </w:rPr>
              <w:t xml:space="preserve">Trigger</w:t>
            </w:r>
          </w:p>
        </w:tc>
      </w:tr>
      <w:tr>
        <w:tc>
          <w:tcPr>
            <w:tcW w:type="dxa" w:w="3120"/>
          </w:tcPr>
          <w:p>
            <w:pPr>
              <w:jc w:val="left"/>
            </w:pPr>
            <w:r>
              <w:rPr>
                <w:rFonts w:ascii="Calibri" w:cs="Calibri" w:eastAsia="Calibri" w:hAnsi="Calibri"/>
                <w:b w:val="false"/>
                <w:bCs w:val="false"/>
                <w:color w:val="333333"/>
                <w:sz w:val="20"/>
                <w:szCs w:val="20"/>
              </w:rPr>
              <w:t xml:space="preserve">Contract Signing</w:t>
            </w:r>
          </w:p>
        </w:tc>
        <w:tc>
          <w:tcPr>
            <w:tcW w:type="dxa" w:w="3120"/>
          </w:tcPr>
          <w:p>
            <w:pPr>
              <w:jc w:val="left"/>
            </w:pPr>
            <w:r>
              <w:rPr>
                <w:rFonts w:ascii="Calibri" w:cs="Calibri" w:eastAsia="Calibri" w:hAnsi="Calibri"/>
                <w:b w:val="false"/>
                <w:bCs w:val="false"/>
                <w:color w:val="333333"/>
                <w:sz w:val="20"/>
                <w:szCs w:val="20"/>
              </w:rPr>
              <w:t xml:space="preserve">10%</w:t>
            </w:r>
          </w:p>
        </w:tc>
        <w:tc>
          <w:tcPr>
            <w:tcW w:type="dxa" w:w="3120"/>
          </w:tcPr>
          <w:p>
            <w:pPr>
              <w:jc w:val="left"/>
            </w:pPr>
            <w:r>
              <w:rPr>
                <w:rFonts w:ascii="Calibri" w:cs="Calibri" w:eastAsia="Calibri" w:hAnsi="Calibri"/>
                <w:b w:val="false"/>
                <w:bCs w:val="false"/>
                <w:color w:val="333333"/>
                <w:sz w:val="20"/>
                <w:szCs w:val="20"/>
              </w:rPr>
              <w:t xml:space="preserve">Execution of master agreement</w:t>
            </w:r>
          </w:p>
        </w:tc>
      </w:tr>
      <w:tr>
        <w:tc>
          <w:tcPr>
            <w:tcW w:type="dxa" w:w="3120"/>
            <w:shd w:fill="F5F5F5" w:val="clear"/>
          </w:tcPr>
          <w:p>
            <w:pPr>
              <w:jc w:val="left"/>
            </w:pPr>
            <w:r>
              <w:rPr>
                <w:rFonts w:ascii="Calibri" w:cs="Calibri" w:eastAsia="Calibri" w:hAnsi="Calibri"/>
                <w:b w:val="false"/>
                <w:bCs w:val="false"/>
                <w:color w:val="333333"/>
                <w:sz w:val="20"/>
                <w:szCs w:val="20"/>
              </w:rPr>
              <w:t xml:space="preserve">Design Phase Completion</w:t>
            </w:r>
          </w:p>
        </w:tc>
        <w:tc>
          <w:tcPr>
            <w:tcW w:type="dxa" w:w="3120"/>
            <w:shd w:fill="F5F5F5" w:val="clear"/>
          </w:tcPr>
          <w:p>
            <w:pPr>
              <w:jc w:val="left"/>
            </w:pPr>
            <w:r>
              <w:rPr>
                <w:rFonts w:ascii="Calibri" w:cs="Calibri" w:eastAsia="Calibri" w:hAnsi="Calibri"/>
                <w:b w:val="false"/>
                <w:bCs w:val="false"/>
                <w:color w:val="333333"/>
                <w:sz w:val="20"/>
                <w:szCs w:val="20"/>
              </w:rPr>
              <w:t xml:space="preserve">15%</w:t>
            </w:r>
          </w:p>
        </w:tc>
        <w:tc>
          <w:tcPr>
            <w:tcW w:type="dxa" w:w="3120"/>
            <w:shd w:fill="F5F5F5" w:val="clear"/>
          </w:tcPr>
          <w:p>
            <w:pPr>
              <w:jc w:val="left"/>
            </w:pPr>
            <w:r>
              <w:rPr>
                <w:rFonts w:ascii="Calibri" w:cs="Calibri" w:eastAsia="Calibri" w:hAnsi="Calibri"/>
                <w:b w:val="false"/>
                <w:bCs w:val="false"/>
                <w:color w:val="333333"/>
                <w:sz w:val="20"/>
                <w:szCs w:val="20"/>
              </w:rPr>
              <w:t xml:space="preserve">Approval of solution design document</w:t>
            </w:r>
          </w:p>
        </w:tc>
      </w:tr>
      <w:tr>
        <w:tc>
          <w:tcPr>
            <w:tcW w:type="dxa" w:w="3120"/>
          </w:tcPr>
          <w:p>
            <w:pPr>
              <w:jc w:val="left"/>
            </w:pPr>
            <w:r>
              <w:rPr>
                <w:rFonts w:ascii="Calibri" w:cs="Calibri" w:eastAsia="Calibri" w:hAnsi="Calibri"/>
                <w:b w:val="false"/>
                <w:bCs w:val="false"/>
                <w:color w:val="333333"/>
                <w:sz w:val="20"/>
                <w:szCs w:val="20"/>
              </w:rPr>
              <w:t xml:space="preserve">Build Midpoint</w:t>
            </w:r>
          </w:p>
        </w:tc>
        <w:tc>
          <w:tcPr>
            <w:tcW w:type="dxa" w:w="3120"/>
          </w:tcPr>
          <w:p>
            <w:pPr>
              <w:jc w:val="left"/>
            </w:pPr>
            <w:r>
              <w:rPr>
                <w:rFonts w:ascii="Calibri" w:cs="Calibri" w:eastAsia="Calibri" w:hAnsi="Calibri"/>
                <w:b w:val="false"/>
                <w:bCs w:val="false"/>
                <w:color w:val="333333"/>
                <w:sz w:val="20"/>
                <w:szCs w:val="20"/>
              </w:rPr>
              <w:t xml:space="preserve">20%</w:t>
            </w:r>
          </w:p>
        </w:tc>
        <w:tc>
          <w:tcPr>
            <w:tcW w:type="dxa" w:w="3120"/>
          </w:tcPr>
          <w:p>
            <w:pPr>
              <w:jc w:val="left"/>
            </w:pPr>
            <w:r>
              <w:rPr>
                <w:rFonts w:ascii="Calibri" w:cs="Calibri" w:eastAsia="Calibri" w:hAnsi="Calibri"/>
                <w:b w:val="false"/>
                <w:bCs w:val="false"/>
                <w:color w:val="333333"/>
                <w:sz w:val="20"/>
                <w:szCs w:val="20"/>
              </w:rPr>
              <w:t xml:space="preserve">Core configuration + 50% customizations complete</w:t>
            </w:r>
          </w:p>
        </w:tc>
      </w:tr>
      <w:tr>
        <w:tc>
          <w:tcPr>
            <w:tcW w:type="dxa" w:w="3120"/>
            <w:shd w:fill="F5F5F5" w:val="clear"/>
          </w:tcPr>
          <w:p>
            <w:pPr>
              <w:jc w:val="left"/>
            </w:pPr>
            <w:r>
              <w:rPr>
                <w:rFonts w:ascii="Calibri" w:cs="Calibri" w:eastAsia="Calibri" w:hAnsi="Calibri"/>
                <w:b w:val="false"/>
                <w:bCs w:val="false"/>
                <w:color w:val="333333"/>
                <w:sz w:val="20"/>
                <w:szCs w:val="20"/>
              </w:rPr>
              <w:t xml:space="preserve">Build Completion</w:t>
            </w:r>
          </w:p>
        </w:tc>
        <w:tc>
          <w:tcPr>
            <w:tcW w:type="dxa" w:w="3120"/>
            <w:shd w:fill="F5F5F5" w:val="clear"/>
          </w:tcPr>
          <w:p>
            <w:pPr>
              <w:jc w:val="left"/>
            </w:pPr>
            <w:r>
              <w:rPr>
                <w:rFonts w:ascii="Calibri" w:cs="Calibri" w:eastAsia="Calibri" w:hAnsi="Calibri"/>
                <w:b w:val="false"/>
                <w:bCs w:val="false"/>
                <w:color w:val="333333"/>
                <w:sz w:val="20"/>
                <w:szCs w:val="20"/>
              </w:rPr>
              <w:t xml:space="preserve">15%</w:t>
            </w:r>
          </w:p>
        </w:tc>
        <w:tc>
          <w:tcPr>
            <w:tcW w:type="dxa" w:w="3120"/>
            <w:shd w:fill="F5F5F5" w:val="clear"/>
          </w:tcPr>
          <w:p>
            <w:pPr>
              <w:jc w:val="left"/>
            </w:pPr>
            <w:r>
              <w:rPr>
                <w:rFonts w:ascii="Calibri" w:cs="Calibri" w:eastAsia="Calibri" w:hAnsi="Calibri"/>
                <w:b w:val="false"/>
                <w:bCs w:val="false"/>
                <w:color w:val="333333"/>
                <w:sz w:val="20"/>
                <w:szCs w:val="20"/>
              </w:rPr>
              <w:t xml:space="preserve">All build + integration testing complete</w:t>
            </w:r>
          </w:p>
        </w:tc>
      </w:tr>
      <w:tr>
        <w:tc>
          <w:tcPr>
            <w:tcW w:type="dxa" w:w="3120"/>
          </w:tcPr>
          <w:p>
            <w:pPr>
              <w:jc w:val="left"/>
            </w:pPr>
            <w:r>
              <w:rPr>
                <w:rFonts w:ascii="Calibri" w:cs="Calibri" w:eastAsia="Calibri" w:hAnsi="Calibri"/>
                <w:b w:val="false"/>
                <w:bCs w:val="false"/>
                <w:color w:val="333333"/>
                <w:sz w:val="20"/>
                <w:szCs w:val="20"/>
              </w:rPr>
              <w:t xml:space="preserve">UAT Completion</w:t>
            </w:r>
          </w:p>
        </w:tc>
        <w:tc>
          <w:tcPr>
            <w:tcW w:type="dxa" w:w="3120"/>
          </w:tcPr>
          <w:p>
            <w:pPr>
              <w:jc w:val="left"/>
            </w:pPr>
            <w:r>
              <w:rPr>
                <w:rFonts w:ascii="Calibri" w:cs="Calibri" w:eastAsia="Calibri" w:hAnsi="Calibri"/>
                <w:b w:val="false"/>
                <w:bCs w:val="false"/>
                <w:color w:val="333333"/>
                <w:sz w:val="20"/>
                <w:szCs w:val="20"/>
              </w:rPr>
              <w:t xml:space="preserve">15%</w:t>
            </w:r>
          </w:p>
        </w:tc>
        <w:tc>
          <w:tcPr>
            <w:tcW w:type="dxa" w:w="3120"/>
          </w:tcPr>
          <w:p>
            <w:pPr>
              <w:jc w:val="left"/>
            </w:pPr>
            <w:r>
              <w:rPr>
                <w:rFonts w:ascii="Calibri" w:cs="Calibri" w:eastAsia="Calibri" w:hAnsi="Calibri"/>
                <w:b w:val="false"/>
                <w:bCs w:val="false"/>
                <w:color w:val="333333"/>
                <w:sz w:val="20"/>
                <w:szCs w:val="20"/>
              </w:rPr>
              <w:t xml:space="preserve">Successful UAT sign-off</w:t>
            </w:r>
          </w:p>
        </w:tc>
      </w:tr>
      <w:tr>
        <w:tc>
          <w:tcPr>
            <w:tcW w:type="dxa" w:w="3120"/>
            <w:shd w:fill="F5F5F5" w:val="clear"/>
          </w:tcPr>
          <w:p>
            <w:pPr>
              <w:jc w:val="left"/>
            </w:pPr>
            <w:r>
              <w:rPr>
                <w:rFonts w:ascii="Calibri" w:cs="Calibri" w:eastAsia="Calibri" w:hAnsi="Calibri"/>
                <w:b w:val="false"/>
                <w:bCs w:val="false"/>
                <w:color w:val="333333"/>
                <w:sz w:val="20"/>
                <w:szCs w:val="20"/>
              </w:rPr>
              <w:t xml:space="preserve">NA Go-Live</w:t>
            </w:r>
          </w:p>
        </w:tc>
        <w:tc>
          <w:tcPr>
            <w:tcW w:type="dxa" w:w="3120"/>
            <w:shd w:fill="F5F5F5" w:val="clear"/>
          </w:tcPr>
          <w:p>
            <w:pPr>
              <w:jc w:val="left"/>
            </w:pPr>
            <w:r>
              <w:rPr>
                <w:rFonts w:ascii="Calibri" w:cs="Calibri" w:eastAsia="Calibri" w:hAnsi="Calibri"/>
                <w:b w:val="false"/>
                <w:bCs w:val="false"/>
                <w:color w:val="333333"/>
                <w:sz w:val="20"/>
                <w:szCs w:val="20"/>
              </w:rPr>
              <w:t xml:space="preserve">10%</w:t>
            </w:r>
          </w:p>
        </w:tc>
        <w:tc>
          <w:tcPr>
            <w:tcW w:type="dxa" w:w="3120"/>
            <w:shd w:fill="F5F5F5" w:val="clear"/>
          </w:tcPr>
          <w:p>
            <w:pPr>
              <w:jc w:val="left"/>
            </w:pPr>
            <w:r>
              <w:rPr>
                <w:rFonts w:ascii="Calibri" w:cs="Calibri" w:eastAsia="Calibri" w:hAnsi="Calibri"/>
                <w:b w:val="false"/>
                <w:bCs w:val="false"/>
                <w:color w:val="333333"/>
                <w:sz w:val="20"/>
                <w:szCs w:val="20"/>
              </w:rPr>
              <w:t xml:space="preserve">North America production deployment</w:t>
            </w:r>
          </w:p>
        </w:tc>
      </w:tr>
      <w:tr>
        <w:tc>
          <w:tcPr>
            <w:tcW w:type="dxa" w:w="3120"/>
          </w:tcPr>
          <w:p>
            <w:pPr>
              <w:jc w:val="left"/>
            </w:pPr>
            <w:r>
              <w:rPr>
                <w:rFonts w:ascii="Calibri" w:cs="Calibri" w:eastAsia="Calibri" w:hAnsi="Calibri"/>
                <w:b w:val="false"/>
                <w:bCs w:val="false"/>
                <w:color w:val="333333"/>
                <w:sz w:val="20"/>
                <w:szCs w:val="20"/>
              </w:rPr>
              <w:t xml:space="preserve">Global Go-Live</w:t>
            </w:r>
          </w:p>
        </w:tc>
        <w:tc>
          <w:tcPr>
            <w:tcW w:type="dxa" w:w="3120"/>
          </w:tcPr>
          <w:p>
            <w:pPr>
              <w:jc w:val="left"/>
            </w:pPr>
            <w:r>
              <w:rPr>
                <w:rFonts w:ascii="Calibri" w:cs="Calibri" w:eastAsia="Calibri" w:hAnsi="Calibri"/>
                <w:b w:val="false"/>
                <w:bCs w:val="false"/>
                <w:color w:val="333333"/>
                <w:sz w:val="20"/>
                <w:szCs w:val="20"/>
              </w:rPr>
              <w:t xml:space="preserve">10%</w:t>
            </w:r>
          </w:p>
        </w:tc>
        <w:tc>
          <w:tcPr>
            <w:tcW w:type="dxa" w:w="3120"/>
          </w:tcPr>
          <w:p>
            <w:pPr>
              <w:jc w:val="left"/>
            </w:pPr>
            <w:r>
              <w:rPr>
                <w:rFonts w:ascii="Calibri" w:cs="Calibri" w:eastAsia="Calibri" w:hAnsi="Calibri"/>
                <w:b w:val="false"/>
                <w:bCs w:val="false"/>
                <w:color w:val="333333"/>
                <w:sz w:val="20"/>
                <w:szCs w:val="20"/>
              </w:rPr>
              <w:t xml:space="preserve">All regional deployments complete</w:t>
            </w:r>
          </w:p>
        </w:tc>
      </w:tr>
      <w:tr>
        <w:tc>
          <w:tcPr>
            <w:tcW w:type="dxa" w:w="3120"/>
            <w:shd w:fill="F5F5F5" w:val="clear"/>
          </w:tcPr>
          <w:p>
            <w:pPr>
              <w:jc w:val="left"/>
            </w:pPr>
            <w:r>
              <w:rPr>
                <w:rFonts w:ascii="Calibri" w:cs="Calibri" w:eastAsia="Calibri" w:hAnsi="Calibri"/>
                <w:b w:val="false"/>
                <w:bCs w:val="false"/>
                <w:color w:val="333333"/>
                <w:sz w:val="20"/>
                <w:szCs w:val="20"/>
              </w:rPr>
              <w:t xml:space="preserve">Final Acceptance</w:t>
            </w:r>
          </w:p>
        </w:tc>
        <w:tc>
          <w:tcPr>
            <w:tcW w:type="dxa" w:w="3120"/>
            <w:shd w:fill="F5F5F5" w:val="clear"/>
          </w:tcPr>
          <w:p>
            <w:pPr>
              <w:jc w:val="left"/>
            </w:pPr>
            <w:r>
              <w:rPr>
                <w:rFonts w:ascii="Calibri" w:cs="Calibri" w:eastAsia="Calibri" w:hAnsi="Calibri"/>
                <w:b w:val="false"/>
                <w:bCs w:val="false"/>
                <w:color w:val="333333"/>
                <w:sz w:val="20"/>
                <w:szCs w:val="20"/>
              </w:rPr>
              <w:t xml:space="preserve">5%</w:t>
            </w:r>
          </w:p>
        </w:tc>
        <w:tc>
          <w:tcPr>
            <w:tcW w:type="dxa" w:w="3120"/>
            <w:shd w:fill="F5F5F5" w:val="clear"/>
          </w:tcPr>
          <w:p>
            <w:pPr>
              <w:jc w:val="left"/>
            </w:pPr>
            <w:r>
              <w:rPr>
                <w:rFonts w:ascii="Calibri" w:cs="Calibri" w:eastAsia="Calibri" w:hAnsi="Calibri"/>
                <w:b w:val="false"/>
                <w:bCs w:val="false"/>
                <w:color w:val="333333"/>
                <w:sz w:val="20"/>
                <w:szCs w:val="20"/>
              </w:rPr>
              <w:t xml:space="preserve">30-day stability period with SLAs met</w:t>
            </w:r>
          </w:p>
        </w:tc>
      </w:tr>
    </w:tbl>
    <w:p>
      <w:pPr>
        <w:pStyle w:val="Heading2"/>
        <w:spacing w:after="160"/>
      </w:pPr>
      <w:r>
        <w:rPr>
          <w:rFonts w:ascii="Calibri" w:cs="Calibri" w:eastAsia="Calibri" w:hAnsi="Calibri"/>
          <w:b/>
          <w:bCs/>
          <w:color w:val="1B3A5C"/>
          <w:sz w:val="28"/>
          <w:szCs w:val="28"/>
        </w:rPr>
        <w:t xml:space="preserve">Five-Year Total Cost of Ownership</w:t>
      </w:r>
    </w:p>
    <w:p>
      <w:pPr>
        <w:shd w:fill="FFE0E0" w:val="clear"/>
        <w:spacing w:after="120" w:line="276"/>
      </w:pPr>
      <w:r>
        <w:rPr>
          <w:rFonts w:ascii="Calibri" w:cs="Calibri" w:eastAsia="Calibri" w:hAnsi="Calibri"/>
          <w:b/>
          <w:bCs/>
          <w:color w:val="CC0000"/>
          <w:sz w:val="22"/>
          <w:szCs w:val="22"/>
        </w:rPr>
        <w:t xml:space="preserve">[REQUIRED: 5-year TCO projection per the RFP template (Section 7.3): Year 1-5 breakdown of Software Licenses, Implementation Services, Data Migration, Training, Annual Support, Environment Costs, Estimated Internal Costs. Must demonstrate total within or below the $5M-$8M implementation budget range.]</w:t>
      </w:r>
    </w:p>
    <w:p>
      <w:pPr>
        <w:spacing w:after="120" w:line="276"/>
      </w:pPr>
      <w:r>
        <w:rPr>
          <w:rFonts w:ascii="Calibri" w:cs="Calibri" w:eastAsia="Calibri" w:hAnsi="Calibri"/>
          <w:color w:val="333333"/>
          <w:sz w:val="22"/>
          <w:szCs w:val="22"/>
        </w:rPr>
        <w:t xml:space="preserve">Detailed pricing worksheets are provided in Appendix B (Excel format) as required.</w:t>
      </w:r>
    </w:p>
    <w:p>
      <w:pPr>
        <w:pStyle w:val="Heading1"/>
        <w:spacing w:after="200" w:before="400"/>
      </w:pPr>
      <w:r>
        <w:rPr>
          <w:rFonts w:ascii="Calibri" w:cs="Calibri" w:eastAsia="Calibri" w:hAnsi="Calibri"/>
          <w:b/>
          <w:bCs/>
          <w:color w:val="1B3A5C"/>
          <w:sz w:val="36"/>
          <w:szCs w:val="36"/>
        </w:rPr>
        <w:t xml:space="preserve">9. Compliance Matrix</w:t>
      </w:r>
    </w:p>
    <w:p>
      <w:pPr>
        <w:spacing w:after="120" w:line="276"/>
      </w:pPr>
      <w:r>
        <w:rPr>
          <w:rFonts w:ascii="Calibri" w:cs="Calibri" w:eastAsia="Calibri" w:hAnsi="Calibri"/>
          <w:color w:val="333333"/>
          <w:sz w:val="22"/>
          <w:szCs w:val="22"/>
        </w:rPr>
        <w:t xml:space="preserve">The following matrix maps key RFP requirements to our proposal sections, demonstrating compliance with all mandatory requirements.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shd w:fill="1B3A5C" w:val="clear"/>
          </w:tcPr>
          <w:p>
            <w:pPr>
              <w:jc w:val="center"/>
            </w:pPr>
            <w:r>
              <w:rPr>
                <w:rFonts w:ascii="Calibri" w:cs="Calibri" w:eastAsia="Calibri" w:hAnsi="Calibri"/>
                <w:b/>
                <w:bCs/>
                <w:color w:val="FFFFFF"/>
                <w:sz w:val="20"/>
                <w:szCs w:val="20"/>
              </w:rPr>
              <w:t xml:space="preserve">RFP Section</w:t>
            </w:r>
          </w:p>
        </w:tc>
        <w:tc>
          <w:tcPr>
            <w:tcW w:type="dxa" w:w="2340"/>
            <w:shd w:fill="1B3A5C" w:val="clear"/>
          </w:tcPr>
          <w:p>
            <w:pPr>
              <w:jc w:val="center"/>
            </w:pPr>
            <w:r>
              <w:rPr>
                <w:rFonts w:ascii="Calibri" w:cs="Calibri" w:eastAsia="Calibri" w:hAnsi="Calibri"/>
                <w:b/>
                <w:bCs/>
                <w:color w:val="FFFFFF"/>
                <w:sz w:val="20"/>
                <w:szCs w:val="20"/>
              </w:rPr>
              <w:t xml:space="preserve">Requirement</w:t>
            </w:r>
          </w:p>
        </w:tc>
        <w:tc>
          <w:tcPr>
            <w:tcW w:type="dxa" w:w="2340"/>
            <w:shd w:fill="1B3A5C" w:val="clear"/>
          </w:tcPr>
          <w:p>
            <w:pPr>
              <w:jc w:val="center"/>
            </w:pPr>
            <w:r>
              <w:rPr>
                <w:rFonts w:ascii="Calibri" w:cs="Calibri" w:eastAsia="Calibri" w:hAnsi="Calibri"/>
                <w:b/>
                <w:bCs/>
                <w:color w:val="FFFFFF"/>
                <w:sz w:val="20"/>
                <w:szCs w:val="20"/>
              </w:rPr>
              <w:t xml:space="preserve">Proposal Section</w:t>
            </w:r>
          </w:p>
        </w:tc>
        <w:tc>
          <w:tcPr>
            <w:tcW w:type="dxa" w:w="2340"/>
            <w:shd w:fill="1B3A5C" w:val="clear"/>
          </w:tcPr>
          <w:p>
            <w:pPr>
              <w:jc w:val="center"/>
            </w:pPr>
            <w:r>
              <w:rPr>
                <w:rFonts w:ascii="Calibri" w:cs="Calibri" w:eastAsia="Calibri" w:hAnsi="Calibri"/>
                <w:b/>
                <w:bCs/>
                <w:color w:val="FFFFFF"/>
                <w:sz w:val="20"/>
                <w:szCs w:val="20"/>
              </w:rPr>
              <w:t xml:space="preserve">Status</w:t>
            </w:r>
          </w:p>
        </w:tc>
      </w:tr>
      <w:tr>
        <w:tc>
          <w:tcPr>
            <w:tcW w:type="dxa" w:w="2340"/>
          </w:tcPr>
          <w:p>
            <w:pPr>
              <w:jc w:val="left"/>
            </w:pPr>
            <w:r>
              <w:rPr>
                <w:rFonts w:ascii="Calibri" w:cs="Calibri" w:eastAsia="Calibri" w:hAnsi="Calibri"/>
                <w:b w:val="false"/>
                <w:bCs w:val="false"/>
                <w:color w:val="333333"/>
                <w:sz w:val="20"/>
                <w:szCs w:val="20"/>
              </w:rPr>
              <w:t xml:space="preserve">3.1 (SFA)</w:t>
            </w:r>
          </w:p>
        </w:tc>
        <w:tc>
          <w:tcPr>
            <w:tcW w:type="dxa" w:w="2340"/>
          </w:tcPr>
          <w:p>
            <w:pPr>
              <w:jc w:val="left"/>
            </w:pPr>
            <w:r>
              <w:rPr>
                <w:rFonts w:ascii="Calibri" w:cs="Calibri" w:eastAsia="Calibri" w:hAnsi="Calibri"/>
                <w:b w:val="false"/>
                <w:bCs w:val="false"/>
                <w:color w:val="333333"/>
                <w:sz w:val="20"/>
                <w:szCs w:val="20"/>
              </w:rPr>
              <w:t xml:space="preserve">30 requirements (22 Must-Have)</w:t>
            </w:r>
          </w:p>
        </w:tc>
        <w:tc>
          <w:tcPr>
            <w:tcW w:type="dxa" w:w="2340"/>
          </w:tcPr>
          <w:p>
            <w:pPr>
              <w:jc w:val="left"/>
            </w:pPr>
            <w:r>
              <w:rPr>
                <w:rFonts w:ascii="Calibri" w:cs="Calibri" w:eastAsia="Calibri" w:hAnsi="Calibri"/>
                <w:b w:val="false"/>
                <w:bCs w:val="false"/>
                <w:color w:val="333333"/>
                <w:sz w:val="20"/>
                <w:szCs w:val="20"/>
              </w:rPr>
              <w:t xml:space="preserve">Section 4</w:t>
            </w:r>
          </w:p>
        </w:tc>
        <w:tc>
          <w:tcPr>
            <w:tcW w:type="dxa" w:w="2340"/>
          </w:tcPr>
          <w:p>
            <w:pPr>
              <w:jc w:val="left"/>
            </w:pPr>
            <w:r>
              <w:rPr>
                <w:rFonts w:ascii="Calibri" w:cs="Calibri" w:eastAsia="Calibri" w:hAnsi="Calibri"/>
                <w:b w:val="false"/>
                <w:bCs w:val="false"/>
                <w:color w:val="333333"/>
                <w:sz w:val="20"/>
                <w:szCs w:val="20"/>
              </w:rPr>
              <w:t xml:space="preserve">COMPLIANT</w:t>
            </w:r>
          </w:p>
        </w:tc>
      </w:tr>
      <w:tr>
        <w:tc>
          <w:tcPr>
            <w:tcW w:type="dxa" w:w="2340"/>
            <w:shd w:fill="F5F5F5" w:val="clear"/>
          </w:tcPr>
          <w:p>
            <w:pPr>
              <w:jc w:val="left"/>
            </w:pPr>
            <w:r>
              <w:rPr>
                <w:rFonts w:ascii="Calibri" w:cs="Calibri" w:eastAsia="Calibri" w:hAnsi="Calibri"/>
                <w:b w:val="false"/>
                <w:bCs w:val="false"/>
                <w:color w:val="333333"/>
                <w:sz w:val="20"/>
                <w:szCs w:val="20"/>
              </w:rPr>
              <w:t xml:space="preserve">3.2 (Marketing)</w:t>
            </w:r>
          </w:p>
        </w:tc>
        <w:tc>
          <w:tcPr>
            <w:tcW w:type="dxa" w:w="2340"/>
            <w:shd w:fill="F5F5F5" w:val="clear"/>
          </w:tcPr>
          <w:p>
            <w:pPr>
              <w:jc w:val="left"/>
            </w:pPr>
            <w:r>
              <w:rPr>
                <w:rFonts w:ascii="Calibri" w:cs="Calibri" w:eastAsia="Calibri" w:hAnsi="Calibri"/>
                <w:b w:val="false"/>
                <w:bCs w:val="false"/>
                <w:color w:val="333333"/>
                <w:sz w:val="20"/>
                <w:szCs w:val="20"/>
              </w:rPr>
              <w:t xml:space="preserve">25 requirements (19 Must-Have)</w:t>
            </w:r>
          </w:p>
        </w:tc>
        <w:tc>
          <w:tcPr>
            <w:tcW w:type="dxa" w:w="2340"/>
            <w:shd w:fill="F5F5F5" w:val="clear"/>
          </w:tcPr>
          <w:p>
            <w:pPr>
              <w:jc w:val="left"/>
            </w:pPr>
            <w:r>
              <w:rPr>
                <w:rFonts w:ascii="Calibri" w:cs="Calibri" w:eastAsia="Calibri" w:hAnsi="Calibri"/>
                <w:b w:val="false"/>
                <w:bCs w:val="false"/>
                <w:color w:val="333333"/>
                <w:sz w:val="20"/>
                <w:szCs w:val="20"/>
              </w:rPr>
              <w:t xml:space="preserve">Section 4</w:t>
            </w:r>
          </w:p>
        </w:tc>
        <w:tc>
          <w:tcPr>
            <w:tcW w:type="dxa" w:w="2340"/>
            <w:shd w:fill="F5F5F5" w:val="clear"/>
          </w:tcPr>
          <w:p>
            <w:pPr>
              <w:jc w:val="left"/>
            </w:pPr>
            <w:r>
              <w:rPr>
                <w:rFonts w:ascii="Calibri" w:cs="Calibri" w:eastAsia="Calibri" w:hAnsi="Calibri"/>
                <w:b w:val="false"/>
                <w:bCs w:val="false"/>
                <w:color w:val="333333"/>
                <w:sz w:val="20"/>
                <w:szCs w:val="20"/>
              </w:rPr>
              <w:t xml:space="preserve">COMPLIANT</w:t>
            </w:r>
          </w:p>
        </w:tc>
      </w:tr>
      <w:tr>
        <w:tc>
          <w:tcPr>
            <w:tcW w:type="dxa" w:w="2340"/>
          </w:tcPr>
          <w:p>
            <w:pPr>
              <w:jc w:val="left"/>
            </w:pPr>
            <w:r>
              <w:rPr>
                <w:rFonts w:ascii="Calibri" w:cs="Calibri" w:eastAsia="Calibri" w:hAnsi="Calibri"/>
                <w:b w:val="false"/>
                <w:bCs w:val="false"/>
                <w:color w:val="333333"/>
                <w:sz w:val="20"/>
                <w:szCs w:val="20"/>
              </w:rPr>
              <w:t xml:space="preserve">3.3 (Service)</w:t>
            </w:r>
          </w:p>
        </w:tc>
        <w:tc>
          <w:tcPr>
            <w:tcW w:type="dxa" w:w="2340"/>
          </w:tcPr>
          <w:p>
            <w:pPr>
              <w:jc w:val="left"/>
            </w:pPr>
            <w:r>
              <w:rPr>
                <w:rFonts w:ascii="Calibri" w:cs="Calibri" w:eastAsia="Calibri" w:hAnsi="Calibri"/>
                <w:b w:val="false"/>
                <w:bCs w:val="false"/>
                <w:color w:val="333333"/>
                <w:sz w:val="20"/>
                <w:szCs w:val="20"/>
              </w:rPr>
              <w:t xml:space="preserve">25 requirements (17 Must-Have)</w:t>
            </w:r>
          </w:p>
        </w:tc>
        <w:tc>
          <w:tcPr>
            <w:tcW w:type="dxa" w:w="2340"/>
          </w:tcPr>
          <w:p>
            <w:pPr>
              <w:jc w:val="left"/>
            </w:pPr>
            <w:r>
              <w:rPr>
                <w:rFonts w:ascii="Calibri" w:cs="Calibri" w:eastAsia="Calibri" w:hAnsi="Calibri"/>
                <w:b w:val="false"/>
                <w:bCs w:val="false"/>
                <w:color w:val="333333"/>
                <w:sz w:val="20"/>
                <w:szCs w:val="20"/>
              </w:rPr>
              <w:t xml:space="preserve">Section 4</w:t>
            </w:r>
          </w:p>
        </w:tc>
        <w:tc>
          <w:tcPr>
            <w:tcW w:type="dxa" w:w="2340"/>
          </w:tcPr>
          <w:p>
            <w:pPr>
              <w:jc w:val="left"/>
            </w:pPr>
            <w:r>
              <w:rPr>
                <w:rFonts w:ascii="Calibri" w:cs="Calibri" w:eastAsia="Calibri" w:hAnsi="Calibri"/>
                <w:b w:val="false"/>
                <w:bCs w:val="false"/>
                <w:color w:val="333333"/>
                <w:sz w:val="20"/>
                <w:szCs w:val="20"/>
              </w:rPr>
              <w:t xml:space="preserve">COMPLIANT</w:t>
            </w:r>
          </w:p>
        </w:tc>
      </w:tr>
      <w:tr>
        <w:tc>
          <w:tcPr>
            <w:tcW w:type="dxa" w:w="2340"/>
            <w:shd w:fill="F5F5F5" w:val="clear"/>
          </w:tcPr>
          <w:p>
            <w:pPr>
              <w:jc w:val="left"/>
            </w:pPr>
            <w:r>
              <w:rPr>
                <w:rFonts w:ascii="Calibri" w:cs="Calibri" w:eastAsia="Calibri" w:hAnsi="Calibri"/>
                <w:b w:val="false"/>
                <w:bCs w:val="false"/>
                <w:color w:val="333333"/>
                <w:sz w:val="20"/>
                <w:szCs w:val="20"/>
              </w:rPr>
              <w:t xml:space="preserve">3.4 (Analytics)</w:t>
            </w:r>
          </w:p>
        </w:tc>
        <w:tc>
          <w:tcPr>
            <w:tcW w:type="dxa" w:w="2340"/>
            <w:shd w:fill="F5F5F5" w:val="clear"/>
          </w:tcPr>
          <w:p>
            <w:pPr>
              <w:jc w:val="left"/>
            </w:pPr>
            <w:r>
              <w:rPr>
                <w:rFonts w:ascii="Calibri" w:cs="Calibri" w:eastAsia="Calibri" w:hAnsi="Calibri"/>
                <w:b w:val="false"/>
                <w:bCs w:val="false"/>
                <w:color w:val="333333"/>
                <w:sz w:val="20"/>
                <w:szCs w:val="20"/>
              </w:rPr>
              <w:t xml:space="preserve">20 requirements (15 Must-Have)</w:t>
            </w:r>
          </w:p>
        </w:tc>
        <w:tc>
          <w:tcPr>
            <w:tcW w:type="dxa" w:w="2340"/>
            <w:shd w:fill="F5F5F5" w:val="clear"/>
          </w:tcPr>
          <w:p>
            <w:pPr>
              <w:jc w:val="left"/>
            </w:pPr>
            <w:r>
              <w:rPr>
                <w:rFonts w:ascii="Calibri" w:cs="Calibri" w:eastAsia="Calibri" w:hAnsi="Calibri"/>
                <w:b w:val="false"/>
                <w:bCs w:val="false"/>
                <w:color w:val="333333"/>
                <w:sz w:val="20"/>
                <w:szCs w:val="20"/>
              </w:rPr>
              <w:t xml:space="preserve">Section 4</w:t>
            </w:r>
          </w:p>
        </w:tc>
        <w:tc>
          <w:tcPr>
            <w:tcW w:type="dxa" w:w="2340"/>
            <w:shd w:fill="F5F5F5" w:val="clear"/>
          </w:tcPr>
          <w:p>
            <w:pPr>
              <w:jc w:val="left"/>
            </w:pPr>
            <w:r>
              <w:rPr>
                <w:rFonts w:ascii="Calibri" w:cs="Calibri" w:eastAsia="Calibri" w:hAnsi="Calibri"/>
                <w:b w:val="false"/>
                <w:bCs w:val="false"/>
                <w:color w:val="333333"/>
                <w:sz w:val="20"/>
                <w:szCs w:val="20"/>
              </w:rPr>
              <w:t xml:space="preserve">COMPLIANT</w:t>
            </w:r>
          </w:p>
        </w:tc>
      </w:tr>
      <w:tr>
        <w:tc>
          <w:tcPr>
            <w:tcW w:type="dxa" w:w="2340"/>
          </w:tcPr>
          <w:p>
            <w:pPr>
              <w:jc w:val="left"/>
            </w:pPr>
            <w:r>
              <w:rPr>
                <w:rFonts w:ascii="Calibri" w:cs="Calibri" w:eastAsia="Calibri" w:hAnsi="Calibri"/>
                <w:b w:val="false"/>
                <w:bCs w:val="false"/>
                <w:color w:val="333333"/>
                <w:sz w:val="20"/>
                <w:szCs w:val="20"/>
              </w:rPr>
              <w:t xml:space="preserve">3.5 (Mobile)</w:t>
            </w:r>
          </w:p>
        </w:tc>
        <w:tc>
          <w:tcPr>
            <w:tcW w:type="dxa" w:w="2340"/>
          </w:tcPr>
          <w:p>
            <w:pPr>
              <w:jc w:val="left"/>
            </w:pPr>
            <w:r>
              <w:rPr>
                <w:rFonts w:ascii="Calibri" w:cs="Calibri" w:eastAsia="Calibri" w:hAnsi="Calibri"/>
                <w:b w:val="false"/>
                <w:bCs w:val="false"/>
                <w:color w:val="333333"/>
                <w:sz w:val="20"/>
                <w:szCs w:val="20"/>
              </w:rPr>
              <w:t xml:space="preserve">15 requirements (10 Must-Have)</w:t>
            </w:r>
          </w:p>
        </w:tc>
        <w:tc>
          <w:tcPr>
            <w:tcW w:type="dxa" w:w="2340"/>
          </w:tcPr>
          <w:p>
            <w:pPr>
              <w:jc w:val="left"/>
            </w:pPr>
            <w:r>
              <w:rPr>
                <w:rFonts w:ascii="Calibri" w:cs="Calibri" w:eastAsia="Calibri" w:hAnsi="Calibri"/>
                <w:b w:val="false"/>
                <w:bCs w:val="false"/>
                <w:color w:val="333333"/>
                <w:sz w:val="20"/>
                <w:szCs w:val="20"/>
              </w:rPr>
              <w:t xml:space="preserve">Section 4</w:t>
            </w:r>
          </w:p>
        </w:tc>
        <w:tc>
          <w:tcPr>
            <w:tcW w:type="dxa" w:w="2340"/>
          </w:tcPr>
          <w:p>
            <w:pPr>
              <w:jc w:val="left"/>
            </w:pPr>
            <w:r>
              <w:rPr>
                <w:rFonts w:ascii="Calibri" w:cs="Calibri" w:eastAsia="Calibri" w:hAnsi="Calibri"/>
                <w:b w:val="false"/>
                <w:bCs w:val="false"/>
                <w:color w:val="333333"/>
                <w:sz w:val="20"/>
                <w:szCs w:val="20"/>
              </w:rPr>
              <w:t xml:space="preserve">COMPLIANT</w:t>
            </w:r>
          </w:p>
        </w:tc>
      </w:tr>
      <w:tr>
        <w:tc>
          <w:tcPr>
            <w:tcW w:type="dxa" w:w="2340"/>
            <w:shd w:fill="F5F5F5" w:val="clear"/>
          </w:tcPr>
          <w:p>
            <w:pPr>
              <w:jc w:val="left"/>
            </w:pPr>
            <w:r>
              <w:rPr>
                <w:rFonts w:ascii="Calibri" w:cs="Calibri" w:eastAsia="Calibri" w:hAnsi="Calibri"/>
                <w:b w:val="false"/>
                <w:bCs w:val="false"/>
                <w:color w:val="333333"/>
                <w:sz w:val="20"/>
                <w:szCs w:val="20"/>
              </w:rPr>
              <w:t xml:space="preserve">3.6 (NFR)</w:t>
            </w:r>
          </w:p>
        </w:tc>
        <w:tc>
          <w:tcPr>
            <w:tcW w:type="dxa" w:w="2340"/>
            <w:shd w:fill="F5F5F5" w:val="clear"/>
          </w:tcPr>
          <w:p>
            <w:pPr>
              <w:jc w:val="left"/>
            </w:pPr>
            <w:r>
              <w:rPr>
                <w:rFonts w:ascii="Calibri" w:cs="Calibri" w:eastAsia="Calibri" w:hAnsi="Calibri"/>
                <w:b w:val="false"/>
                <w:bCs w:val="false"/>
                <w:color w:val="333333"/>
                <w:sz w:val="20"/>
                <w:szCs w:val="20"/>
              </w:rPr>
              <w:t xml:space="preserve">20 requirements (all Must-Have)</w:t>
            </w:r>
          </w:p>
        </w:tc>
        <w:tc>
          <w:tcPr>
            <w:tcW w:type="dxa" w:w="2340"/>
            <w:shd w:fill="F5F5F5" w:val="clear"/>
          </w:tcPr>
          <w:p>
            <w:pPr>
              <w:jc w:val="left"/>
            </w:pPr>
            <w:r>
              <w:rPr>
                <w:rFonts w:ascii="Calibri" w:cs="Calibri" w:eastAsia="Calibri" w:hAnsi="Calibri"/>
                <w:b w:val="false"/>
                <w:bCs w:val="false"/>
                <w:color w:val="333333"/>
                <w:sz w:val="20"/>
                <w:szCs w:val="20"/>
              </w:rPr>
              <w:t xml:space="preserve">Section 4</w:t>
            </w:r>
          </w:p>
        </w:tc>
        <w:tc>
          <w:tcPr>
            <w:tcW w:type="dxa" w:w="2340"/>
            <w:shd w:fill="F5F5F5" w:val="clear"/>
          </w:tcPr>
          <w:p>
            <w:pPr>
              <w:jc w:val="left"/>
            </w:pPr>
            <w:r>
              <w:rPr>
                <w:rFonts w:ascii="Calibri" w:cs="Calibri" w:eastAsia="Calibri" w:hAnsi="Calibri"/>
                <w:b w:val="false"/>
                <w:bCs w:val="false"/>
                <w:color w:val="333333"/>
                <w:sz w:val="20"/>
                <w:szCs w:val="20"/>
              </w:rPr>
              <w:t xml:space="preserve">COMPLIANT</w:t>
            </w:r>
          </w:p>
        </w:tc>
      </w:tr>
      <w:tr>
        <w:tc>
          <w:tcPr>
            <w:tcW w:type="dxa" w:w="2340"/>
          </w:tcPr>
          <w:p>
            <w:pPr>
              <w:jc w:val="left"/>
            </w:pPr>
            <w:r>
              <w:rPr>
                <w:rFonts w:ascii="Calibri" w:cs="Calibri" w:eastAsia="Calibri" w:hAnsi="Calibri"/>
                <w:b w:val="false"/>
                <w:bCs w:val="false"/>
                <w:color w:val="333333"/>
                <w:sz w:val="20"/>
                <w:szCs w:val="20"/>
              </w:rPr>
              <w:t xml:space="preserve">3.7 (Integration)</w:t>
            </w:r>
          </w:p>
        </w:tc>
        <w:tc>
          <w:tcPr>
            <w:tcW w:type="dxa" w:w="2340"/>
          </w:tcPr>
          <w:p>
            <w:pPr>
              <w:jc w:val="left"/>
            </w:pPr>
            <w:r>
              <w:rPr>
                <w:rFonts w:ascii="Calibri" w:cs="Calibri" w:eastAsia="Calibri" w:hAnsi="Calibri"/>
                <w:b w:val="false"/>
                <w:bCs w:val="false"/>
                <w:color w:val="333333"/>
                <w:sz w:val="20"/>
                <w:szCs w:val="20"/>
              </w:rPr>
              <w:t xml:space="preserve">15 requirements (all Must-Have)</w:t>
            </w:r>
          </w:p>
        </w:tc>
        <w:tc>
          <w:tcPr>
            <w:tcW w:type="dxa" w:w="2340"/>
          </w:tcPr>
          <w:p>
            <w:pPr>
              <w:jc w:val="left"/>
            </w:pPr>
            <w:r>
              <w:rPr>
                <w:rFonts w:ascii="Calibri" w:cs="Calibri" w:eastAsia="Calibri" w:hAnsi="Calibri"/>
                <w:b w:val="false"/>
                <w:bCs w:val="false"/>
                <w:color w:val="333333"/>
                <w:sz w:val="20"/>
                <w:szCs w:val="20"/>
              </w:rPr>
              <w:t xml:space="preserve">Section 4</w:t>
            </w:r>
          </w:p>
        </w:tc>
        <w:tc>
          <w:tcPr>
            <w:tcW w:type="dxa" w:w="2340"/>
          </w:tcPr>
          <w:p>
            <w:pPr>
              <w:jc w:val="left"/>
            </w:pPr>
            <w:r>
              <w:rPr>
                <w:rFonts w:ascii="Calibri" w:cs="Calibri" w:eastAsia="Calibri" w:hAnsi="Calibri"/>
                <w:b w:val="false"/>
                <w:bCs w:val="false"/>
                <w:color w:val="333333"/>
                <w:sz w:val="20"/>
                <w:szCs w:val="20"/>
              </w:rPr>
              <w:t xml:space="preserve">COMPLIANT</w:t>
            </w:r>
          </w:p>
        </w:tc>
      </w:tr>
      <w:tr>
        <w:tc>
          <w:tcPr>
            <w:tcW w:type="dxa" w:w="2340"/>
            <w:shd w:fill="F5F5F5" w:val="clear"/>
          </w:tcPr>
          <w:p>
            <w:pPr>
              <w:jc w:val="left"/>
            </w:pPr>
            <w:r>
              <w:rPr>
                <w:rFonts w:ascii="Calibri" w:cs="Calibri" w:eastAsia="Calibri" w:hAnsi="Calibri"/>
                <w:b w:val="false"/>
                <w:bCs w:val="false"/>
                <w:color w:val="333333"/>
                <w:sz w:val="20"/>
                <w:szCs w:val="20"/>
              </w:rPr>
              <w:t xml:space="preserve">3.8 (Data Migration)</w:t>
            </w:r>
          </w:p>
        </w:tc>
        <w:tc>
          <w:tcPr>
            <w:tcW w:type="dxa" w:w="2340"/>
            <w:shd w:fill="F5F5F5" w:val="clear"/>
          </w:tcPr>
          <w:p>
            <w:pPr>
              <w:jc w:val="left"/>
            </w:pPr>
            <w:r>
              <w:rPr>
                <w:rFonts w:ascii="Calibri" w:cs="Calibri" w:eastAsia="Calibri" w:hAnsi="Calibri"/>
                <w:b w:val="false"/>
                <w:bCs w:val="false"/>
                <w:color w:val="333333"/>
                <w:sz w:val="20"/>
                <w:szCs w:val="20"/>
              </w:rPr>
              <w:t xml:space="preserve">4 source systems, 4.9M contacts</w:t>
            </w:r>
          </w:p>
        </w:tc>
        <w:tc>
          <w:tcPr>
            <w:tcW w:type="dxa" w:w="2340"/>
            <w:shd w:fill="F5F5F5" w:val="clear"/>
          </w:tcPr>
          <w:p>
            <w:pPr>
              <w:jc w:val="left"/>
            </w:pPr>
            <w:r>
              <w:rPr>
                <w:rFonts w:ascii="Calibri" w:cs="Calibri" w:eastAsia="Calibri" w:hAnsi="Calibri"/>
                <w:b w:val="false"/>
                <w:bCs w:val="false"/>
                <w:color w:val="333333"/>
                <w:sz w:val="20"/>
                <w:szCs w:val="20"/>
              </w:rPr>
              <w:t xml:space="preserve">Section 5</w:t>
            </w:r>
          </w:p>
        </w:tc>
        <w:tc>
          <w:tcPr>
            <w:tcW w:type="dxa" w:w="2340"/>
            <w:shd w:fill="F5F5F5" w:val="clear"/>
          </w:tcPr>
          <w:p>
            <w:pPr>
              <w:jc w:val="left"/>
            </w:pPr>
            <w:r>
              <w:rPr>
                <w:rFonts w:ascii="Calibri" w:cs="Calibri" w:eastAsia="Calibri" w:hAnsi="Calibri"/>
                <w:b w:val="false"/>
                <w:bCs w:val="false"/>
                <w:color w:val="333333"/>
                <w:sz w:val="20"/>
                <w:szCs w:val="20"/>
              </w:rPr>
              <w:t xml:space="preserve">COMPLIANT</w:t>
            </w:r>
          </w:p>
        </w:tc>
      </w:tr>
      <w:tr>
        <w:tc>
          <w:tcPr>
            <w:tcW w:type="dxa" w:w="2340"/>
          </w:tcPr>
          <w:p>
            <w:pPr>
              <w:jc w:val="left"/>
            </w:pPr>
            <w:r>
              <w:rPr>
                <w:rFonts w:ascii="Calibri" w:cs="Calibri" w:eastAsia="Calibri" w:hAnsi="Calibri"/>
                <w:b w:val="false"/>
                <w:bCs w:val="false"/>
                <w:color w:val="333333"/>
                <w:sz w:val="20"/>
                <w:szCs w:val="20"/>
              </w:rPr>
              <w:t xml:space="preserve">4.1 (Vendor Quals)</w:t>
            </w:r>
          </w:p>
        </w:tc>
        <w:tc>
          <w:tcPr>
            <w:tcW w:type="dxa" w:w="2340"/>
          </w:tcPr>
          <w:p>
            <w:pPr>
              <w:jc w:val="left"/>
            </w:pPr>
            <w:r>
              <w:rPr>
                <w:rFonts w:ascii="Calibri" w:cs="Calibri" w:eastAsia="Calibri" w:hAnsi="Calibri"/>
                <w:b w:val="false"/>
                <w:bCs w:val="false"/>
                <w:color w:val="333333"/>
                <w:sz w:val="20"/>
                <w:szCs w:val="20"/>
              </w:rPr>
              <w:t xml:space="preserve">Revenue, market presence, global ops</w:t>
            </w:r>
          </w:p>
        </w:tc>
        <w:tc>
          <w:tcPr>
            <w:tcW w:type="dxa" w:w="2340"/>
          </w:tcPr>
          <w:p>
            <w:pPr>
              <w:jc w:val="left"/>
            </w:pPr>
            <w:r>
              <w:rPr>
                <w:rFonts w:ascii="Calibri" w:cs="Calibri" w:eastAsia="Calibri" w:hAnsi="Calibri"/>
                <w:b w:val="false"/>
                <w:bCs w:val="false"/>
                <w:color w:val="333333"/>
                <w:sz w:val="20"/>
                <w:szCs w:val="20"/>
              </w:rPr>
              <w:t xml:space="preserve">Section 2 + Appendix</w:t>
            </w:r>
          </w:p>
        </w:tc>
        <w:tc>
          <w:tcPr>
            <w:tcW w:type="dxa" w:w="2340"/>
          </w:tcPr>
          <w:p>
            <w:pPr>
              <w:jc w:val="left"/>
            </w:pPr>
            <w:r>
              <w:rPr>
                <w:rFonts w:ascii="Calibri" w:cs="Calibri" w:eastAsia="Calibri" w:hAnsi="Calibri"/>
                <w:b w:val="false"/>
                <w:bCs w:val="false"/>
                <w:color w:val="333333"/>
                <w:sz w:val="20"/>
                <w:szCs w:val="20"/>
              </w:rPr>
              <w:t xml:space="preserve">PARTIAL</w:t>
            </w:r>
          </w:p>
        </w:tc>
      </w:tr>
      <w:tr>
        <w:tc>
          <w:tcPr>
            <w:tcW w:type="dxa" w:w="2340"/>
            <w:shd w:fill="F5F5F5" w:val="clear"/>
          </w:tcPr>
          <w:p>
            <w:pPr>
              <w:jc w:val="left"/>
            </w:pPr>
            <w:r>
              <w:rPr>
                <w:rFonts w:ascii="Calibri" w:cs="Calibri" w:eastAsia="Calibri" w:hAnsi="Calibri"/>
                <w:b w:val="false"/>
                <w:bCs w:val="false"/>
                <w:color w:val="333333"/>
                <w:sz w:val="20"/>
                <w:szCs w:val="20"/>
              </w:rPr>
              <w:t xml:space="preserve">4.2 (References)</w:t>
            </w:r>
          </w:p>
        </w:tc>
        <w:tc>
          <w:tcPr>
            <w:tcW w:type="dxa" w:w="2340"/>
            <w:shd w:fill="F5F5F5" w:val="clear"/>
          </w:tcPr>
          <w:p>
            <w:pPr>
              <w:jc w:val="left"/>
            </w:pPr>
            <w:r>
              <w:rPr>
                <w:rFonts w:ascii="Calibri" w:cs="Calibri" w:eastAsia="Calibri" w:hAnsi="Calibri"/>
                <w:b w:val="false"/>
                <w:bCs w:val="false"/>
                <w:color w:val="333333"/>
                <w:sz w:val="20"/>
                <w:szCs w:val="20"/>
              </w:rPr>
              <w:t xml:space="preserve">5 references meeting size/industry/geo</w:t>
            </w:r>
          </w:p>
        </w:tc>
        <w:tc>
          <w:tcPr>
            <w:tcW w:type="dxa" w:w="2340"/>
            <w:shd w:fill="F5F5F5" w:val="clear"/>
          </w:tcPr>
          <w:p>
            <w:pPr>
              <w:jc w:val="left"/>
            </w:pPr>
            <w:r>
              <w:rPr>
                <w:rFonts w:ascii="Calibri" w:cs="Calibri" w:eastAsia="Calibri" w:hAnsi="Calibri"/>
                <w:b w:val="false"/>
                <w:bCs w:val="false"/>
                <w:color w:val="333333"/>
                <w:sz w:val="20"/>
                <w:szCs w:val="20"/>
              </w:rPr>
              <w:t xml:space="preserve">Section 7</w:t>
            </w:r>
          </w:p>
        </w:tc>
        <w:tc>
          <w:tcPr>
            <w:tcW w:type="dxa" w:w="2340"/>
            <w:shd w:fill="F5F5F5" w:val="clear"/>
          </w:tcPr>
          <w:p>
            <w:pPr>
              <w:jc w:val="left"/>
            </w:pPr>
            <w:r>
              <w:rPr>
                <w:rFonts w:ascii="Calibri" w:cs="Calibri" w:eastAsia="Calibri" w:hAnsi="Calibri"/>
                <w:b w:val="false"/>
                <w:bCs w:val="false"/>
                <w:color w:val="333333"/>
                <w:sz w:val="20"/>
                <w:szCs w:val="20"/>
              </w:rPr>
              <w:t xml:space="preserve">PARTIAL</w:t>
            </w:r>
          </w:p>
        </w:tc>
      </w:tr>
      <w:tr>
        <w:tc>
          <w:tcPr>
            <w:tcW w:type="dxa" w:w="2340"/>
          </w:tcPr>
          <w:p>
            <w:pPr>
              <w:jc w:val="left"/>
            </w:pPr>
            <w:r>
              <w:rPr>
                <w:rFonts w:ascii="Calibri" w:cs="Calibri" w:eastAsia="Calibri" w:hAnsi="Calibri"/>
                <w:b w:val="false"/>
                <w:bCs w:val="false"/>
                <w:color w:val="333333"/>
                <w:sz w:val="20"/>
                <w:szCs w:val="20"/>
              </w:rPr>
              <w:t xml:space="preserve">4.4 (Certifications)</w:t>
            </w:r>
          </w:p>
        </w:tc>
        <w:tc>
          <w:tcPr>
            <w:tcW w:type="dxa" w:w="2340"/>
          </w:tcPr>
          <w:p>
            <w:pPr>
              <w:jc w:val="left"/>
            </w:pPr>
            <w:r>
              <w:rPr>
                <w:rFonts w:ascii="Calibri" w:cs="Calibri" w:eastAsia="Calibri" w:hAnsi="Calibri"/>
                <w:b w:val="false"/>
                <w:bCs w:val="false"/>
                <w:color w:val="333333"/>
                <w:sz w:val="20"/>
                <w:szCs w:val="20"/>
              </w:rPr>
              <w:t xml:space="preserve">SOC 2, ISO 27001/17/18, CSA STAR</w:t>
            </w:r>
          </w:p>
        </w:tc>
        <w:tc>
          <w:tcPr>
            <w:tcW w:type="dxa" w:w="2340"/>
          </w:tcPr>
          <w:p>
            <w:pPr>
              <w:jc w:val="left"/>
            </w:pPr>
            <w:r>
              <w:rPr>
                <w:rFonts w:ascii="Calibri" w:cs="Calibri" w:eastAsia="Calibri" w:hAnsi="Calibri"/>
                <w:b w:val="false"/>
                <w:bCs w:val="false"/>
                <w:color w:val="333333"/>
                <w:sz w:val="20"/>
                <w:szCs w:val="20"/>
              </w:rPr>
              <w:t xml:space="preserve">Section 4 + Appendix D</w:t>
            </w:r>
          </w:p>
        </w:tc>
        <w:tc>
          <w:tcPr>
            <w:tcW w:type="dxa" w:w="2340"/>
          </w:tcPr>
          <w:p>
            <w:pPr>
              <w:jc w:val="left"/>
            </w:pPr>
            <w:r>
              <w:rPr>
                <w:rFonts w:ascii="Calibri" w:cs="Calibri" w:eastAsia="Calibri" w:hAnsi="Calibri"/>
                <w:b w:val="false"/>
                <w:bCs w:val="false"/>
                <w:color w:val="333333"/>
                <w:sz w:val="20"/>
                <w:szCs w:val="20"/>
              </w:rPr>
              <w:t xml:space="preserve">PARTIAL</w:t>
            </w:r>
          </w:p>
        </w:tc>
      </w:tr>
      <w:tr>
        <w:tc>
          <w:tcPr>
            <w:tcW w:type="dxa" w:w="2340"/>
            <w:shd w:fill="F5F5F5" w:val="clear"/>
          </w:tcPr>
          <w:p>
            <w:pPr>
              <w:jc w:val="left"/>
            </w:pPr>
            <w:r>
              <w:rPr>
                <w:rFonts w:ascii="Calibri" w:cs="Calibri" w:eastAsia="Calibri" w:hAnsi="Calibri"/>
                <w:b w:val="false"/>
                <w:bCs w:val="false"/>
                <w:color w:val="333333"/>
                <w:sz w:val="20"/>
                <w:szCs w:val="20"/>
              </w:rPr>
              <w:t xml:space="preserve">5.1 (Methodology)</w:t>
            </w:r>
          </w:p>
        </w:tc>
        <w:tc>
          <w:tcPr>
            <w:tcW w:type="dxa" w:w="2340"/>
            <w:shd w:fill="F5F5F5" w:val="clear"/>
          </w:tcPr>
          <w:p>
            <w:pPr>
              <w:jc w:val="left"/>
            </w:pPr>
            <w:r>
              <w:rPr>
                <w:rFonts w:ascii="Calibri" w:cs="Calibri" w:eastAsia="Calibri" w:hAnsi="Calibri"/>
                <w:b w:val="false"/>
                <w:bCs w:val="false"/>
                <w:color w:val="333333"/>
                <w:sz w:val="20"/>
                <w:szCs w:val="20"/>
              </w:rPr>
              <w:t xml:space="preserve">Agile-hybrid preference</w:t>
            </w:r>
          </w:p>
        </w:tc>
        <w:tc>
          <w:tcPr>
            <w:tcW w:type="dxa" w:w="2340"/>
            <w:shd w:fill="F5F5F5" w:val="clear"/>
          </w:tcPr>
          <w:p>
            <w:pPr>
              <w:jc w:val="left"/>
            </w:pPr>
            <w:r>
              <w:rPr>
                <w:rFonts w:ascii="Calibri" w:cs="Calibri" w:eastAsia="Calibri" w:hAnsi="Calibri"/>
                <w:b w:val="false"/>
                <w:bCs w:val="false"/>
                <w:color w:val="333333"/>
                <w:sz w:val="20"/>
                <w:szCs w:val="20"/>
              </w:rPr>
              <w:t xml:space="preserve">Section 5</w:t>
            </w:r>
          </w:p>
        </w:tc>
        <w:tc>
          <w:tcPr>
            <w:tcW w:type="dxa" w:w="2340"/>
            <w:shd w:fill="F5F5F5" w:val="clear"/>
          </w:tcPr>
          <w:p>
            <w:pPr>
              <w:jc w:val="left"/>
            </w:pPr>
            <w:r>
              <w:rPr>
                <w:rFonts w:ascii="Calibri" w:cs="Calibri" w:eastAsia="Calibri" w:hAnsi="Calibri"/>
                <w:b w:val="false"/>
                <w:bCs w:val="false"/>
                <w:color w:val="333333"/>
                <w:sz w:val="20"/>
                <w:szCs w:val="20"/>
              </w:rPr>
              <w:t xml:space="preserve">COMPLIANT</w:t>
            </w:r>
          </w:p>
        </w:tc>
      </w:tr>
      <w:tr>
        <w:tc>
          <w:tcPr>
            <w:tcW w:type="dxa" w:w="2340"/>
          </w:tcPr>
          <w:p>
            <w:pPr>
              <w:jc w:val="left"/>
            </w:pPr>
            <w:r>
              <w:rPr>
                <w:rFonts w:ascii="Calibri" w:cs="Calibri" w:eastAsia="Calibri" w:hAnsi="Calibri"/>
                <w:b w:val="false"/>
                <w:bCs w:val="false"/>
                <w:color w:val="333333"/>
                <w:sz w:val="20"/>
                <w:szCs w:val="20"/>
              </w:rPr>
              <w:t xml:space="preserve">5.2 (Change Mgmt)</w:t>
            </w:r>
          </w:p>
        </w:tc>
        <w:tc>
          <w:tcPr>
            <w:tcW w:type="dxa" w:w="2340"/>
          </w:tcPr>
          <w:p>
            <w:pPr>
              <w:jc w:val="left"/>
            </w:pPr>
            <w:r>
              <w:rPr>
                <w:rFonts w:ascii="Calibri" w:cs="Calibri" w:eastAsia="Calibri" w:hAnsi="Calibri"/>
                <w:b w:val="false"/>
                <w:bCs w:val="false"/>
                <w:color w:val="333333"/>
                <w:sz w:val="20"/>
                <w:szCs w:val="20"/>
              </w:rPr>
              <w:t xml:space="preserve">Training in 5 languages, OCM</w:t>
            </w:r>
          </w:p>
        </w:tc>
        <w:tc>
          <w:tcPr>
            <w:tcW w:type="dxa" w:w="2340"/>
          </w:tcPr>
          <w:p>
            <w:pPr>
              <w:jc w:val="left"/>
            </w:pPr>
            <w:r>
              <w:rPr>
                <w:rFonts w:ascii="Calibri" w:cs="Calibri" w:eastAsia="Calibri" w:hAnsi="Calibri"/>
                <w:b w:val="false"/>
                <w:bCs w:val="false"/>
                <w:color w:val="333333"/>
                <w:sz w:val="20"/>
                <w:szCs w:val="20"/>
              </w:rPr>
              <w:t xml:space="preserve">Section 5</w:t>
            </w:r>
          </w:p>
        </w:tc>
        <w:tc>
          <w:tcPr>
            <w:tcW w:type="dxa" w:w="2340"/>
          </w:tcPr>
          <w:p>
            <w:pPr>
              <w:jc w:val="left"/>
            </w:pPr>
            <w:r>
              <w:rPr>
                <w:rFonts w:ascii="Calibri" w:cs="Calibri" w:eastAsia="Calibri" w:hAnsi="Calibri"/>
                <w:b w:val="false"/>
                <w:bCs w:val="false"/>
                <w:color w:val="333333"/>
                <w:sz w:val="20"/>
                <w:szCs w:val="20"/>
              </w:rPr>
              <w:t xml:space="preserve">COMPLIANT</w:t>
            </w:r>
          </w:p>
        </w:tc>
      </w:tr>
      <w:tr>
        <w:tc>
          <w:tcPr>
            <w:tcW w:type="dxa" w:w="2340"/>
            <w:shd w:fill="F5F5F5" w:val="clear"/>
          </w:tcPr>
          <w:p>
            <w:pPr>
              <w:jc w:val="left"/>
            </w:pPr>
            <w:r>
              <w:rPr>
                <w:rFonts w:ascii="Calibri" w:cs="Calibri" w:eastAsia="Calibri" w:hAnsi="Calibri"/>
                <w:b w:val="false"/>
                <w:bCs w:val="false"/>
                <w:color w:val="333333"/>
                <w:sz w:val="20"/>
                <w:szCs w:val="20"/>
              </w:rPr>
              <w:t xml:space="preserve">7.1 (Pricing)</w:t>
            </w:r>
          </w:p>
        </w:tc>
        <w:tc>
          <w:tcPr>
            <w:tcW w:type="dxa" w:w="2340"/>
            <w:shd w:fill="F5F5F5" w:val="clear"/>
          </w:tcPr>
          <w:p>
            <w:pPr>
              <w:jc w:val="left"/>
            </w:pPr>
            <w:r>
              <w:rPr>
                <w:rFonts w:ascii="Calibri" w:cs="Calibri" w:eastAsia="Calibri" w:hAnsi="Calibri"/>
                <w:b w:val="false"/>
                <w:bCs w:val="false"/>
                <w:color w:val="333333"/>
                <w:sz w:val="20"/>
                <w:szCs w:val="20"/>
              </w:rPr>
              <w:t xml:space="preserve">Detailed per-line pricing</w:t>
            </w:r>
          </w:p>
        </w:tc>
        <w:tc>
          <w:tcPr>
            <w:tcW w:type="dxa" w:w="2340"/>
            <w:shd w:fill="F5F5F5" w:val="clear"/>
          </w:tcPr>
          <w:p>
            <w:pPr>
              <w:jc w:val="left"/>
            </w:pPr>
            <w:r>
              <w:rPr>
                <w:rFonts w:ascii="Calibri" w:cs="Calibri" w:eastAsia="Calibri" w:hAnsi="Calibri"/>
                <w:b w:val="false"/>
                <w:bCs w:val="false"/>
                <w:color w:val="333333"/>
                <w:sz w:val="20"/>
                <w:szCs w:val="20"/>
              </w:rPr>
              <w:t xml:space="preserve">Section 8 + Appendix B</w:t>
            </w:r>
          </w:p>
        </w:tc>
        <w:tc>
          <w:tcPr>
            <w:tcW w:type="dxa" w:w="2340"/>
            <w:shd w:fill="F5F5F5" w:val="clear"/>
          </w:tcPr>
          <w:p>
            <w:pPr>
              <w:jc w:val="left"/>
            </w:pPr>
            <w:r>
              <w:rPr>
                <w:rFonts w:ascii="Calibri" w:cs="Calibri" w:eastAsia="Calibri" w:hAnsi="Calibri"/>
                <w:b w:val="false"/>
                <w:bCs w:val="false"/>
                <w:color w:val="333333"/>
                <w:sz w:val="20"/>
                <w:szCs w:val="20"/>
              </w:rPr>
              <w:t xml:space="preserve">PARTIAL</w:t>
            </w:r>
          </w:p>
        </w:tc>
      </w:tr>
      <w:tr>
        <w:tc>
          <w:tcPr>
            <w:tcW w:type="dxa" w:w="2340"/>
          </w:tcPr>
          <w:p>
            <w:pPr>
              <w:jc w:val="left"/>
            </w:pPr>
            <w:r>
              <w:rPr>
                <w:rFonts w:ascii="Calibri" w:cs="Calibri" w:eastAsia="Calibri" w:hAnsi="Calibri"/>
                <w:b w:val="false"/>
                <w:bCs w:val="false"/>
                <w:color w:val="333333"/>
                <w:sz w:val="20"/>
                <w:szCs w:val="20"/>
              </w:rPr>
              <w:t xml:space="preserve">8.1 (Volumes)</w:t>
            </w:r>
          </w:p>
        </w:tc>
        <w:tc>
          <w:tcPr>
            <w:tcW w:type="dxa" w:w="2340"/>
          </w:tcPr>
          <w:p>
            <w:pPr>
              <w:jc w:val="left"/>
            </w:pPr>
            <w:r>
              <w:rPr>
                <w:rFonts w:ascii="Calibri" w:cs="Calibri" w:eastAsia="Calibri" w:hAnsi="Calibri"/>
                <w:b w:val="false"/>
                <w:bCs w:val="false"/>
                <w:color w:val="333333"/>
                <w:sz w:val="20"/>
                <w:szCs w:val="20"/>
              </w:rPr>
              <w:t xml:space="preserve">5 volumes with page limits</w:t>
            </w:r>
          </w:p>
        </w:tc>
        <w:tc>
          <w:tcPr>
            <w:tcW w:type="dxa" w:w="2340"/>
          </w:tcPr>
          <w:p>
            <w:pPr>
              <w:jc w:val="left"/>
            </w:pPr>
            <w:r>
              <w:rPr>
                <w:rFonts w:ascii="Calibri" w:cs="Calibri" w:eastAsia="Calibri" w:hAnsi="Calibri"/>
                <w:b w:val="false"/>
                <w:bCs w:val="false"/>
                <w:color w:val="333333"/>
                <w:sz w:val="20"/>
                <w:szCs w:val="20"/>
              </w:rPr>
              <w:t xml:space="preserve">Full proposal</w:t>
            </w:r>
          </w:p>
        </w:tc>
        <w:tc>
          <w:tcPr>
            <w:tcW w:type="dxa" w:w="2340"/>
          </w:tcPr>
          <w:p>
            <w:pPr>
              <w:jc w:val="left"/>
            </w:pPr>
            <w:r>
              <w:rPr>
                <w:rFonts w:ascii="Calibri" w:cs="Calibri" w:eastAsia="Calibri" w:hAnsi="Calibri"/>
                <w:b w:val="false"/>
                <w:bCs w:val="false"/>
                <w:color w:val="333333"/>
                <w:sz w:val="20"/>
                <w:szCs w:val="20"/>
              </w:rPr>
              <w:t xml:space="preserve">COMPLIANT</w:t>
            </w:r>
          </w:p>
        </w:tc>
      </w:tr>
      <w:tr>
        <w:tc>
          <w:tcPr>
            <w:tcW w:type="dxa" w:w="2340"/>
            <w:shd w:fill="F5F5F5" w:val="clear"/>
          </w:tcPr>
          <w:p>
            <w:pPr>
              <w:jc w:val="left"/>
            </w:pPr>
            <w:r>
              <w:rPr>
                <w:rFonts w:ascii="Calibri" w:cs="Calibri" w:eastAsia="Calibri" w:hAnsi="Calibri"/>
                <w:b w:val="false"/>
                <w:bCs w:val="false"/>
                <w:color w:val="333333"/>
                <w:sz w:val="20"/>
                <w:szCs w:val="20"/>
              </w:rPr>
              <w:t xml:space="preserve">8.4 (Appendices)</w:t>
            </w:r>
          </w:p>
        </w:tc>
        <w:tc>
          <w:tcPr>
            <w:tcW w:type="dxa" w:w="2340"/>
            <w:shd w:fill="F5F5F5" w:val="clear"/>
          </w:tcPr>
          <w:p>
            <w:pPr>
              <w:jc w:val="left"/>
            </w:pPr>
            <w:r>
              <w:rPr>
                <w:rFonts w:ascii="Calibri" w:cs="Calibri" w:eastAsia="Calibri" w:hAnsi="Calibri"/>
                <w:b w:val="false"/>
                <w:bCs w:val="false"/>
                <w:color w:val="333333"/>
                <w:sz w:val="20"/>
                <w:szCs w:val="20"/>
              </w:rPr>
              <w:t xml:space="preserve">SOW, pricing, references, certs, resumes, project plan</w:t>
            </w:r>
          </w:p>
        </w:tc>
        <w:tc>
          <w:tcPr>
            <w:tcW w:type="dxa" w:w="2340"/>
            <w:shd w:fill="F5F5F5" w:val="clear"/>
          </w:tcPr>
          <w:p>
            <w:pPr>
              <w:jc w:val="left"/>
            </w:pPr>
            <w:r>
              <w:rPr>
                <w:rFonts w:ascii="Calibri" w:cs="Calibri" w:eastAsia="Calibri" w:hAnsi="Calibri"/>
                <w:b w:val="false"/>
                <w:bCs w:val="false"/>
                <w:color w:val="333333"/>
                <w:sz w:val="20"/>
                <w:szCs w:val="20"/>
              </w:rPr>
              <w:t xml:space="preserve">Appendices A-F</w:t>
            </w:r>
          </w:p>
        </w:tc>
        <w:tc>
          <w:tcPr>
            <w:tcW w:type="dxa" w:w="2340"/>
            <w:shd w:fill="F5F5F5" w:val="clear"/>
          </w:tcPr>
          <w:p>
            <w:pPr>
              <w:jc w:val="left"/>
            </w:pPr>
            <w:r>
              <w:rPr>
                <w:rFonts w:ascii="Calibri" w:cs="Calibri" w:eastAsia="Calibri" w:hAnsi="Calibri"/>
                <w:b w:val="false"/>
                <w:bCs w:val="false"/>
                <w:color w:val="333333"/>
                <w:sz w:val="20"/>
                <w:szCs w:val="20"/>
              </w:rPr>
              <w:t xml:space="preserve">PARTIAL</w:t>
            </w:r>
          </w:p>
        </w:tc>
      </w:tr>
    </w:tbl>
    <w:p>
      <w:pPr>
        <w:spacing w:after="120" w:line="276"/>
      </w:pPr>
      <w:r>
        <w:rPr>
          <w:rFonts w:ascii="Calibri" w:cs="Calibri" w:eastAsia="Calibri" w:hAnsi="Calibri"/>
          <w:b/>
          <w:bCs/>
          <w:color w:val="333333"/>
          <w:sz w:val="22"/>
          <w:szCs w:val="22"/>
        </w:rPr>
        <w:t xml:space="preserve">Note:</w:t>
      </w:r>
      <w:r>
        <w:rPr>
          <w:rFonts w:ascii="Calibri" w:cs="Calibri" w:eastAsia="Calibri" w:hAnsi="Calibri"/>
          <w:color w:val="333333"/>
          <w:sz w:val="22"/>
          <w:szCs w:val="22"/>
        </w:rPr>
        <w:t xml:space="preserve"> Items marked PARTIAL contain placeholders that must be completed before submission. See the Placeholder Summary in this document for a prioritized list.</w:t>
      </w:r>
    </w:p>
    <w:p>
      <w:pPr>
        <w:pStyle w:val="Heading1"/>
        <w:spacing w:after="200" w:before="400"/>
      </w:pPr>
      <w:r>
        <w:rPr>
          <w:rFonts w:ascii="Calibri" w:cs="Calibri" w:eastAsia="Calibri" w:hAnsi="Calibri"/>
          <w:b/>
          <w:bCs/>
          <w:color w:val="1B3A5C"/>
          <w:sz w:val="36"/>
          <w:szCs w:val="36"/>
        </w:rPr>
        <w:t xml:space="preserve">10. Appendices</w:t>
      </w:r>
    </w:p>
    <w:p>
      <w:pPr>
        <w:spacing w:after="120" w:line="276"/>
      </w:pPr>
      <w:r>
        <w:rPr>
          <w:rFonts w:ascii="Calibri" w:cs="Calibri" w:eastAsia="Calibri" w:hAnsi="Calibri"/>
          <w:color w:val="333333"/>
          <w:sz w:val="22"/>
          <w:szCs w:val="22"/>
        </w:rPr>
        <w:t xml:space="preserve">The following appendices are included per Section 8.4 of the RFP:</w:t>
      </w:r>
    </w:p>
    <w:p>
      <w:pPr>
        <w:pStyle w:val="Heading2"/>
        <w:spacing w:after="160"/>
      </w:pPr>
      <w:r>
        <w:rPr>
          <w:rFonts w:ascii="Calibri" w:cs="Calibri" w:eastAsia="Calibri" w:hAnsi="Calibri"/>
          <w:b/>
          <w:bCs/>
          <w:color w:val="1B3A5C"/>
          <w:sz w:val="28"/>
          <w:szCs w:val="28"/>
        </w:rPr>
        <w:t xml:space="preserve">Appendix A: Statement of Work (SOW) Template</w:t>
      </w:r>
    </w:p>
    <w:p>
      <w:pPr>
        <w:shd w:fill="FFE0E0" w:val="clear"/>
        <w:spacing w:after="120" w:line="276"/>
      </w:pPr>
      <w:r>
        <w:rPr>
          <w:rFonts w:ascii="Calibri" w:cs="Calibri" w:eastAsia="Calibri" w:hAnsi="Calibri"/>
          <w:b/>
          <w:bCs/>
          <w:color w:val="CC0000"/>
          <w:sz w:val="22"/>
          <w:szCs w:val="22"/>
        </w:rPr>
        <w:t xml:space="preserve">[REQUIRED: Draft SOW based on proposed approach — include scope, deliverables, milestones, acceptance criteria, assumptions, and constraints]</w:t>
      </w:r>
    </w:p>
    <w:p>
      <w:pPr>
        <w:pStyle w:val="Heading2"/>
        <w:spacing w:after="160"/>
      </w:pPr>
      <w:r>
        <w:rPr>
          <w:rFonts w:ascii="Calibri" w:cs="Calibri" w:eastAsia="Calibri" w:hAnsi="Calibri"/>
          <w:b/>
          <w:bCs/>
          <w:color w:val="1B3A5C"/>
          <w:sz w:val="28"/>
          <w:szCs w:val="28"/>
        </w:rPr>
        <w:t xml:space="preserve">Appendix B: Pricing Worksheet</w:t>
      </w:r>
    </w:p>
    <w:p>
      <w:pPr>
        <w:shd w:fill="FFE0E0" w:val="clear"/>
        <w:spacing w:after="120" w:line="276"/>
      </w:pPr>
      <w:r>
        <w:rPr>
          <w:rFonts w:ascii="Calibri" w:cs="Calibri" w:eastAsia="Calibri" w:hAnsi="Calibri"/>
          <w:b/>
          <w:bCs/>
          <w:color w:val="CC0000"/>
          <w:sz w:val="22"/>
          <w:szCs w:val="22"/>
        </w:rPr>
        <w:t xml:space="preserve">[REQUIRED: Completed Excel workbook using the Acme Corp pricing template from the Procurement Portal]</w:t>
      </w:r>
    </w:p>
    <w:p>
      <w:pPr>
        <w:pStyle w:val="Heading2"/>
        <w:spacing w:after="160"/>
      </w:pPr>
      <w:r>
        <w:rPr>
          <w:rFonts w:ascii="Calibri" w:cs="Calibri" w:eastAsia="Calibri" w:hAnsi="Calibri"/>
          <w:b/>
          <w:bCs/>
          <w:color w:val="1B3A5C"/>
          <w:sz w:val="28"/>
          <w:szCs w:val="28"/>
        </w:rPr>
        <w:t xml:space="preserve">Appendix C: Reference Forms</w:t>
      </w:r>
    </w:p>
    <w:p>
      <w:pPr>
        <w:shd w:fill="FFE0E0" w:val="clear"/>
        <w:spacing w:after="120" w:line="276"/>
      </w:pPr>
      <w:r>
        <w:rPr>
          <w:rFonts w:ascii="Calibri" w:cs="Calibri" w:eastAsia="Calibri" w:hAnsi="Calibri"/>
          <w:b/>
          <w:bCs/>
          <w:color w:val="CC0000"/>
          <w:sz w:val="22"/>
          <w:szCs w:val="22"/>
        </w:rPr>
        <w:t xml:space="preserve">[REQUIRED: Completed reference forms for all 5 customer references with contact details]</w:t>
      </w:r>
    </w:p>
    <w:p>
      <w:pPr>
        <w:pStyle w:val="Heading2"/>
        <w:spacing w:after="160"/>
      </w:pPr>
      <w:r>
        <w:rPr>
          <w:rFonts w:ascii="Calibri" w:cs="Calibri" w:eastAsia="Calibri" w:hAnsi="Calibri"/>
          <w:b/>
          <w:bCs/>
          <w:color w:val="1B3A5C"/>
          <w:sz w:val="28"/>
          <w:szCs w:val="28"/>
        </w:rPr>
        <w:t xml:space="preserve">Appendix D: Security &amp; Compliance Documentation</w:t>
      </w:r>
    </w:p>
    <w:p>
      <w:pPr>
        <w:shd w:fill="FFE0E0" w:val="clear"/>
        <w:spacing w:after="120" w:line="276"/>
      </w:pPr>
      <w:r>
        <w:rPr>
          <w:rFonts w:ascii="Calibri" w:cs="Calibri" w:eastAsia="Calibri" w:hAnsi="Calibri"/>
          <w:b/>
          <w:bCs/>
          <w:color w:val="CC0000"/>
          <w:sz w:val="22"/>
          <w:szCs w:val="22"/>
        </w:rPr>
        <w:t xml:space="preserve">[REQUIRED: Current SOC 2 Type II report, ISO 27001/27017/27018 certificates, CSA STAR certification, and data security architecture overview]</w:t>
      </w:r>
    </w:p>
    <w:p>
      <w:pPr>
        <w:pStyle w:val="Heading2"/>
        <w:spacing w:after="160"/>
      </w:pPr>
      <w:r>
        <w:rPr>
          <w:rFonts w:ascii="Calibri" w:cs="Calibri" w:eastAsia="Calibri" w:hAnsi="Calibri"/>
          <w:b/>
          <w:bCs/>
          <w:color w:val="1B3A5C"/>
          <w:sz w:val="28"/>
          <w:szCs w:val="28"/>
        </w:rPr>
        <w:t xml:space="preserve">Appendix E: Implementation Team Resumes</w:t>
      </w:r>
    </w:p>
    <w:p>
      <w:pPr>
        <w:shd w:fill="FFE0E0" w:val="clear"/>
        <w:spacing w:after="120" w:line="276"/>
      </w:pPr>
      <w:r>
        <w:rPr>
          <w:rFonts w:ascii="Calibri" w:cs="Calibri" w:eastAsia="Calibri" w:hAnsi="Calibri"/>
          <w:b/>
          <w:bCs/>
          <w:color w:val="CC0000"/>
          <w:sz w:val="22"/>
          <w:szCs w:val="22"/>
        </w:rPr>
        <w:t xml:space="preserve">[REQUIRED: Resumes for Program Manager, Solution Architect, Technical Lead, and Change Management Lead]</w:t>
      </w:r>
    </w:p>
    <w:p>
      <w:pPr>
        <w:pStyle w:val="Heading2"/>
        <w:spacing w:after="160"/>
      </w:pPr>
      <w:r>
        <w:rPr>
          <w:rFonts w:ascii="Calibri" w:cs="Calibri" w:eastAsia="Calibri" w:hAnsi="Calibri"/>
          <w:b/>
          <w:bCs/>
          <w:color w:val="1B3A5C"/>
          <w:sz w:val="28"/>
          <w:szCs w:val="28"/>
        </w:rPr>
        <w:t xml:space="preserve">Appendix F: Sample Project Plan</w:t>
      </w:r>
    </w:p>
    <w:p>
      <w:pPr>
        <w:shd w:fill="FFE0E0" w:val="clear"/>
        <w:spacing w:after="120" w:line="276"/>
      </w:pPr>
      <w:r>
        <w:rPr>
          <w:rFonts w:ascii="Calibri" w:cs="Calibri" w:eastAsia="Calibri" w:hAnsi="Calibri"/>
          <w:b/>
          <w:bCs/>
          <w:color w:val="CC0000"/>
          <w:sz w:val="22"/>
          <w:szCs w:val="22"/>
        </w:rPr>
        <w:t xml:space="preserve">[REQUIRED: Representative project plan (MS Project or equivalent) showing the 22-month implementation timeline with milestones, dependencies, and resource allocation]</w:t>
      </w:r>
    </w:p>
    <w:p>
      <w:pPr>
        <w:pStyle w:val="Heading1"/>
        <w:spacing w:after="200" w:before="400"/>
      </w:pPr>
      <w:r>
        <w:rPr>
          <w:rFonts w:ascii="Calibri" w:cs="Calibri" w:eastAsia="Calibri" w:hAnsi="Calibri"/>
          <w:b/>
          <w:bCs/>
          <w:color w:val="1B3A5C"/>
          <w:sz w:val="36"/>
          <w:szCs w:val="36"/>
        </w:rPr>
        <w:t xml:space="preserve">Compliance Checklist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
        <w:gridCol w:w="936"/>
        <w:gridCol w:w="2808"/>
        <w:gridCol w:w="1872"/>
        <w:gridCol w:w="936"/>
        <w:gridCol w:w="2340"/>
      </w:tblGrid>
      <w:tr>
        <w:tc>
          <w:tcPr>
            <w:tcW w:type="dxa" w:w="468"/>
            <w:shd w:fill="1B3A5C" w:val="clear"/>
          </w:tcPr>
          <w:p>
            <w:r>
              <w:rPr>
                <w:rFonts w:ascii="Calibri" w:cs="Calibri" w:eastAsia="Calibri" w:hAnsi="Calibri"/>
                <w:b/>
                <w:bCs/>
                <w:color w:val="FFFFFF"/>
                <w:sz w:val="20"/>
                <w:szCs w:val="20"/>
              </w:rPr>
              <w:t xml:space="preserve">#</w:t>
            </w:r>
          </w:p>
        </w:tc>
        <w:tc>
          <w:tcPr>
            <w:tcW w:type="dxa" w:w="936"/>
            <w:shd w:fill="1B3A5C" w:val="clear"/>
          </w:tcPr>
          <w:p>
            <w:r>
              <w:rPr>
                <w:rFonts w:ascii="Calibri" w:cs="Calibri" w:eastAsia="Calibri" w:hAnsi="Calibri"/>
                <w:b/>
                <w:bCs/>
                <w:color w:val="FFFFFF"/>
                <w:sz w:val="20"/>
                <w:szCs w:val="20"/>
              </w:rPr>
              <w:t xml:space="preserve">RFP Ref</w:t>
            </w:r>
          </w:p>
        </w:tc>
        <w:tc>
          <w:tcPr>
            <w:tcW w:type="dxa" w:w="2808"/>
            <w:shd w:fill="1B3A5C" w:val="clear"/>
          </w:tcPr>
          <w:p>
            <w:r>
              <w:rPr>
                <w:rFonts w:ascii="Calibri" w:cs="Calibri" w:eastAsia="Calibri" w:hAnsi="Calibri"/>
                <w:b/>
                <w:bCs/>
                <w:color w:val="FFFFFF"/>
                <w:sz w:val="20"/>
                <w:szCs w:val="20"/>
              </w:rPr>
              <w:t xml:space="preserve">Requirement</w:t>
            </w:r>
          </w:p>
        </w:tc>
        <w:tc>
          <w:tcPr>
            <w:tcW w:type="dxa" w:w="1872"/>
            <w:shd w:fill="1B3A5C" w:val="clear"/>
          </w:tcPr>
          <w:p>
            <w:r>
              <w:rPr>
                <w:rFonts w:ascii="Calibri" w:cs="Calibri" w:eastAsia="Calibri" w:hAnsi="Calibri"/>
                <w:b/>
                <w:bCs/>
                <w:color w:val="FFFFFF"/>
                <w:sz w:val="20"/>
                <w:szCs w:val="20"/>
              </w:rPr>
              <w:t xml:space="preserve">Proposal Section</w:t>
            </w:r>
          </w:p>
        </w:tc>
        <w:tc>
          <w:tcPr>
            <w:tcW w:type="dxa" w:w="936"/>
            <w:shd w:fill="1B3A5C" w:val="clear"/>
          </w:tcPr>
          <w:p>
            <w:r>
              <w:rPr>
                <w:rFonts w:ascii="Calibri" w:cs="Calibri" w:eastAsia="Calibri" w:hAnsi="Calibri"/>
                <w:b/>
                <w:bCs/>
                <w:color w:val="FFFFFF"/>
                <w:sz w:val="20"/>
                <w:szCs w:val="20"/>
              </w:rPr>
              <w:t xml:space="preserve">Status</w:t>
            </w:r>
          </w:p>
        </w:tc>
        <w:tc>
          <w:tcPr>
            <w:tcW w:type="dxa" w:w="2340"/>
            <w:shd w:fill="1B3A5C" w:val="clear"/>
          </w:tcPr>
          <w:p>
            <w:r>
              <w:rPr>
                <w:rFonts w:ascii="Calibri" w:cs="Calibri" w:eastAsia="Calibri" w:hAnsi="Calibri"/>
                <w:b/>
                <w:bCs/>
                <w:color w:val="FFFFFF"/>
                <w:sz w:val="20"/>
                <w:szCs w:val="20"/>
              </w:rPr>
              <w:t xml:space="preserve">Notes</w:t>
            </w:r>
          </w:p>
        </w:tc>
      </w:tr>
      <w:tr>
        <w:tc>
          <w:tcPr>
            <w:tcW w:type="dxa" w:w="468"/>
          </w:tcPr>
          <w:p>
            <w:r>
              <w:rPr>
                <w:rFonts w:ascii="Calibri" w:cs="Calibri" w:eastAsia="Calibri" w:hAnsi="Calibri"/>
                <w:b w:val="false"/>
                <w:bCs w:val="false"/>
                <w:color w:val="333333"/>
                <w:sz w:val="20"/>
                <w:szCs w:val="20"/>
              </w:rPr>
              <w:t xml:space="preserve">1</w:t>
            </w:r>
          </w:p>
        </w:tc>
        <w:tc>
          <w:tcPr>
            <w:tcW w:type="dxa" w:w="936"/>
          </w:tcPr>
          <w:p>
            <w:r>
              <w:rPr>
                <w:rFonts w:ascii="Calibri" w:cs="Calibri" w:eastAsia="Calibri" w:hAnsi="Calibri"/>
                <w:b w:val="false"/>
                <w:bCs w:val="false"/>
                <w:color w:val="333333"/>
                <w:sz w:val="20"/>
                <w:szCs w:val="20"/>
              </w:rPr>
              <w:t xml:space="preserve">8.1</w:t>
            </w:r>
          </w:p>
        </w:tc>
        <w:tc>
          <w:tcPr>
            <w:tcW w:type="dxa" w:w="2808"/>
          </w:tcPr>
          <w:p>
            <w:r>
              <w:rPr>
                <w:rFonts w:ascii="Calibri" w:cs="Calibri" w:eastAsia="Calibri" w:hAnsi="Calibri"/>
                <w:b w:val="false"/>
                <w:bCs w:val="false"/>
                <w:color w:val="333333"/>
                <w:sz w:val="20"/>
                <w:szCs w:val="20"/>
              </w:rPr>
              <w:t xml:space="preserve">Volume 1: Executive Summary (30 pages max)</w:t>
            </w:r>
          </w:p>
        </w:tc>
        <w:tc>
          <w:tcPr>
            <w:tcW w:type="dxa" w:w="1872"/>
          </w:tcPr>
          <w:p>
            <w:r>
              <w:rPr>
                <w:rFonts w:ascii="Calibri" w:cs="Calibri" w:eastAsia="Calibri" w:hAnsi="Calibri"/>
                <w:b w:val="false"/>
                <w:bCs w:val="false"/>
                <w:color w:val="333333"/>
                <w:sz w:val="20"/>
                <w:szCs w:val="20"/>
              </w:rPr>
              <w:t xml:space="preserve">Sections 1-2</w:t>
            </w:r>
          </w:p>
        </w:tc>
        <w:tc>
          <w:tcPr>
            <w:tcW w:type="dxa" w:w="936"/>
          </w:tcPr>
          <w:p>
            <w:r>
              <w:rPr>
                <w:rFonts w:ascii="Calibri" w:cs="Calibri" w:eastAsia="Calibri" w:hAnsi="Calibri"/>
                <w:b w:val="false"/>
                <w:bCs w:val="false"/>
                <w:color w:val="333333"/>
                <w:sz w:val="20"/>
                <w:szCs w:val="20"/>
              </w:rPr>
              <w:t xml:space="preserve">COMPLIANT</w:t>
            </w:r>
          </w:p>
        </w:tc>
        <w:tc>
          <w:tcPr>
            <w:tcW w:type="dxa" w:w="2340"/>
          </w:tcPr>
          <w:p>
            <w:r>
              <w:rPr>
                <w:rFonts w:ascii="Calibri" w:cs="Calibri" w:eastAsia="Calibri" w:hAnsi="Calibri"/>
                <w:b w:val="false"/>
                <w:bCs w:val="false"/>
                <w:color w:val="333333"/>
                <w:sz w:val="20"/>
                <w:szCs w:val="20"/>
              </w:rPr>
              <w:t xml:space="preserve">Within page limit</w:t>
            </w:r>
          </w:p>
        </w:tc>
      </w:tr>
      <w:tr>
        <w:tc>
          <w:tcPr>
            <w:tcW w:type="dxa" w:w="468"/>
          </w:tcPr>
          <w:p>
            <w:r>
              <w:rPr>
                <w:rFonts w:ascii="Calibri" w:cs="Calibri" w:eastAsia="Calibri" w:hAnsi="Calibri"/>
                <w:b w:val="false"/>
                <w:bCs w:val="false"/>
                <w:color w:val="333333"/>
                <w:sz w:val="20"/>
                <w:szCs w:val="20"/>
              </w:rPr>
              <w:t xml:space="preserve">2</w:t>
            </w:r>
          </w:p>
        </w:tc>
        <w:tc>
          <w:tcPr>
            <w:tcW w:type="dxa" w:w="936"/>
          </w:tcPr>
          <w:p>
            <w:r>
              <w:rPr>
                <w:rFonts w:ascii="Calibri" w:cs="Calibri" w:eastAsia="Calibri" w:hAnsi="Calibri"/>
                <w:b w:val="false"/>
                <w:bCs w:val="false"/>
                <w:color w:val="333333"/>
                <w:sz w:val="20"/>
                <w:szCs w:val="20"/>
              </w:rPr>
              <w:t xml:space="preserve">8.1</w:t>
            </w:r>
          </w:p>
        </w:tc>
        <w:tc>
          <w:tcPr>
            <w:tcW w:type="dxa" w:w="2808"/>
          </w:tcPr>
          <w:p>
            <w:r>
              <w:rPr>
                <w:rFonts w:ascii="Calibri" w:cs="Calibri" w:eastAsia="Calibri" w:hAnsi="Calibri"/>
                <w:b w:val="false"/>
                <w:bCs w:val="false"/>
                <w:color w:val="333333"/>
                <w:sz w:val="20"/>
                <w:szCs w:val="20"/>
              </w:rPr>
              <w:t xml:space="preserve">Volume 2: Technical Solution (75 pages max)</w:t>
            </w:r>
          </w:p>
        </w:tc>
        <w:tc>
          <w:tcPr>
            <w:tcW w:type="dxa" w:w="1872"/>
          </w:tcPr>
          <w:p>
            <w:r>
              <w:rPr>
                <w:rFonts w:ascii="Calibri" w:cs="Calibri" w:eastAsia="Calibri" w:hAnsi="Calibri"/>
                <w:b w:val="false"/>
                <w:bCs w:val="false"/>
                <w:color w:val="333333"/>
                <w:sz w:val="20"/>
                <w:szCs w:val="20"/>
              </w:rPr>
              <w:t xml:space="preserve">Sections 3-4</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Architecture diagram and requirement-by-requirement matrix needed</w:t>
            </w:r>
          </w:p>
        </w:tc>
      </w:tr>
      <w:tr>
        <w:tc>
          <w:tcPr>
            <w:tcW w:type="dxa" w:w="468"/>
          </w:tcPr>
          <w:p>
            <w:r>
              <w:rPr>
                <w:rFonts w:ascii="Calibri" w:cs="Calibri" w:eastAsia="Calibri" w:hAnsi="Calibri"/>
                <w:b w:val="false"/>
                <w:bCs w:val="false"/>
                <w:color w:val="333333"/>
                <w:sz w:val="20"/>
                <w:szCs w:val="20"/>
              </w:rPr>
              <w:t xml:space="preserve">3</w:t>
            </w:r>
          </w:p>
        </w:tc>
        <w:tc>
          <w:tcPr>
            <w:tcW w:type="dxa" w:w="936"/>
          </w:tcPr>
          <w:p>
            <w:r>
              <w:rPr>
                <w:rFonts w:ascii="Calibri" w:cs="Calibri" w:eastAsia="Calibri" w:hAnsi="Calibri"/>
                <w:b w:val="false"/>
                <w:bCs w:val="false"/>
                <w:color w:val="333333"/>
                <w:sz w:val="20"/>
                <w:szCs w:val="20"/>
              </w:rPr>
              <w:t xml:space="preserve">8.1</w:t>
            </w:r>
          </w:p>
        </w:tc>
        <w:tc>
          <w:tcPr>
            <w:tcW w:type="dxa" w:w="2808"/>
          </w:tcPr>
          <w:p>
            <w:r>
              <w:rPr>
                <w:rFonts w:ascii="Calibri" w:cs="Calibri" w:eastAsia="Calibri" w:hAnsi="Calibri"/>
                <w:b w:val="false"/>
                <w:bCs w:val="false"/>
                <w:color w:val="333333"/>
                <w:sz w:val="20"/>
                <w:szCs w:val="20"/>
              </w:rPr>
              <w:t xml:space="preserve">Volume 3: Implementation Approach (40 pages max)</w:t>
            </w:r>
          </w:p>
        </w:tc>
        <w:tc>
          <w:tcPr>
            <w:tcW w:type="dxa" w:w="1872"/>
          </w:tcPr>
          <w:p>
            <w:r>
              <w:rPr>
                <w:rFonts w:ascii="Calibri" w:cs="Calibri" w:eastAsia="Calibri" w:hAnsi="Calibri"/>
                <w:b w:val="false"/>
                <w:bCs w:val="false"/>
                <w:color w:val="333333"/>
                <w:sz w:val="20"/>
                <w:szCs w:val="20"/>
              </w:rPr>
              <w:t xml:space="preserve">Sections 5-7</w:t>
            </w:r>
          </w:p>
        </w:tc>
        <w:tc>
          <w:tcPr>
            <w:tcW w:type="dxa" w:w="936"/>
          </w:tcPr>
          <w:p>
            <w:r>
              <w:rPr>
                <w:rFonts w:ascii="Calibri" w:cs="Calibri" w:eastAsia="Calibri" w:hAnsi="Calibri"/>
                <w:b w:val="false"/>
                <w:bCs w:val="false"/>
                <w:color w:val="333333"/>
                <w:sz w:val="20"/>
                <w:szCs w:val="20"/>
              </w:rPr>
              <w:t xml:space="preserve">COMPLIANT</w:t>
            </w:r>
          </w:p>
        </w:tc>
        <w:tc>
          <w:tcPr>
            <w:tcW w:type="dxa" w:w="2340"/>
          </w:tcPr>
          <w:p>
            <w:r>
              <w:rPr>
                <w:rFonts w:ascii="Calibri" w:cs="Calibri" w:eastAsia="Calibri" w:hAnsi="Calibri"/>
                <w:b w:val="false"/>
                <w:bCs w:val="false"/>
                <w:color w:val="333333"/>
                <w:sz w:val="20"/>
                <w:szCs w:val="20"/>
              </w:rPr>
              <w:t xml:space="preserve">Methodology, staffing, and past performance covered</w:t>
            </w:r>
          </w:p>
        </w:tc>
      </w:tr>
      <w:tr>
        <w:tc>
          <w:tcPr>
            <w:tcW w:type="dxa" w:w="468"/>
          </w:tcPr>
          <w:p>
            <w:r>
              <w:rPr>
                <w:rFonts w:ascii="Calibri" w:cs="Calibri" w:eastAsia="Calibri" w:hAnsi="Calibri"/>
                <w:b w:val="false"/>
                <w:bCs w:val="false"/>
                <w:color w:val="333333"/>
                <w:sz w:val="20"/>
                <w:szCs w:val="20"/>
              </w:rPr>
              <w:t xml:space="preserve">4</w:t>
            </w:r>
          </w:p>
        </w:tc>
        <w:tc>
          <w:tcPr>
            <w:tcW w:type="dxa" w:w="936"/>
          </w:tcPr>
          <w:p>
            <w:r>
              <w:rPr>
                <w:rFonts w:ascii="Calibri" w:cs="Calibri" w:eastAsia="Calibri" w:hAnsi="Calibri"/>
                <w:b w:val="false"/>
                <w:bCs w:val="false"/>
                <w:color w:val="333333"/>
                <w:sz w:val="20"/>
                <w:szCs w:val="20"/>
              </w:rPr>
              <w:t xml:space="preserve">8.1</w:t>
            </w:r>
          </w:p>
        </w:tc>
        <w:tc>
          <w:tcPr>
            <w:tcW w:type="dxa" w:w="2808"/>
          </w:tcPr>
          <w:p>
            <w:r>
              <w:rPr>
                <w:rFonts w:ascii="Calibri" w:cs="Calibri" w:eastAsia="Calibri" w:hAnsi="Calibri"/>
                <w:b w:val="false"/>
                <w:bCs w:val="false"/>
                <w:color w:val="333333"/>
                <w:sz w:val="20"/>
                <w:szCs w:val="20"/>
              </w:rPr>
              <w:t xml:space="preserve">Volume 4: Pricing (25 pages max)</w:t>
            </w:r>
          </w:p>
        </w:tc>
        <w:tc>
          <w:tcPr>
            <w:tcW w:type="dxa" w:w="1872"/>
          </w:tcPr>
          <w:p>
            <w:r>
              <w:rPr>
                <w:rFonts w:ascii="Calibri" w:cs="Calibri" w:eastAsia="Calibri" w:hAnsi="Calibri"/>
                <w:b w:val="false"/>
                <w:bCs w:val="false"/>
                <w:color w:val="333333"/>
                <w:sz w:val="20"/>
                <w:szCs w:val="20"/>
              </w:rPr>
              <w:t xml:space="preserve">Section 8</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Pricing figures required</w:t>
            </w:r>
          </w:p>
        </w:tc>
      </w:tr>
      <w:tr>
        <w:tc>
          <w:tcPr>
            <w:tcW w:type="dxa" w:w="468"/>
          </w:tcPr>
          <w:p>
            <w:r>
              <w:rPr>
                <w:rFonts w:ascii="Calibri" w:cs="Calibri" w:eastAsia="Calibri" w:hAnsi="Calibri"/>
                <w:b w:val="false"/>
                <w:bCs w:val="false"/>
                <w:color w:val="333333"/>
                <w:sz w:val="20"/>
                <w:szCs w:val="20"/>
              </w:rPr>
              <w:t xml:space="preserve">5</w:t>
            </w:r>
          </w:p>
        </w:tc>
        <w:tc>
          <w:tcPr>
            <w:tcW w:type="dxa" w:w="936"/>
          </w:tcPr>
          <w:p>
            <w:r>
              <w:rPr>
                <w:rFonts w:ascii="Calibri" w:cs="Calibri" w:eastAsia="Calibri" w:hAnsi="Calibri"/>
                <w:b w:val="false"/>
                <w:bCs w:val="false"/>
                <w:color w:val="333333"/>
                <w:sz w:val="20"/>
                <w:szCs w:val="20"/>
              </w:rPr>
              <w:t xml:space="preserve">8.1</w:t>
            </w:r>
          </w:p>
        </w:tc>
        <w:tc>
          <w:tcPr>
            <w:tcW w:type="dxa" w:w="2808"/>
          </w:tcPr>
          <w:p>
            <w:r>
              <w:rPr>
                <w:rFonts w:ascii="Calibri" w:cs="Calibri" w:eastAsia="Calibri" w:hAnsi="Calibri"/>
                <w:b w:val="false"/>
                <w:bCs w:val="false"/>
                <w:color w:val="333333"/>
                <w:sz w:val="20"/>
                <w:szCs w:val="20"/>
              </w:rPr>
              <w:t xml:space="preserve">Volume 5: Appendices</w:t>
            </w:r>
          </w:p>
        </w:tc>
        <w:tc>
          <w:tcPr>
            <w:tcW w:type="dxa" w:w="1872"/>
          </w:tcPr>
          <w:p>
            <w:r>
              <w:rPr>
                <w:rFonts w:ascii="Calibri" w:cs="Calibri" w:eastAsia="Calibri" w:hAnsi="Calibri"/>
                <w:b w:val="false"/>
                <w:bCs w:val="false"/>
                <w:color w:val="333333"/>
                <w:sz w:val="20"/>
                <w:szCs w:val="20"/>
              </w:rPr>
              <w:t xml:space="preserve">Section 10</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6 appendix placeholders to fill</w:t>
            </w:r>
          </w:p>
        </w:tc>
      </w:tr>
      <w:tr>
        <w:tc>
          <w:tcPr>
            <w:tcW w:type="dxa" w:w="468"/>
          </w:tcPr>
          <w:p>
            <w:r>
              <w:rPr>
                <w:rFonts w:ascii="Calibri" w:cs="Calibri" w:eastAsia="Calibri" w:hAnsi="Calibri"/>
                <w:b w:val="false"/>
                <w:bCs w:val="false"/>
                <w:color w:val="333333"/>
                <w:sz w:val="20"/>
                <w:szCs w:val="20"/>
              </w:rPr>
              <w:t xml:space="preserve">6</w:t>
            </w:r>
          </w:p>
        </w:tc>
        <w:tc>
          <w:tcPr>
            <w:tcW w:type="dxa" w:w="936"/>
          </w:tcPr>
          <w:p>
            <w:r>
              <w:rPr>
                <w:rFonts w:ascii="Calibri" w:cs="Calibri" w:eastAsia="Calibri" w:hAnsi="Calibri"/>
                <w:b w:val="false"/>
                <w:bCs w:val="false"/>
                <w:color w:val="333333"/>
                <w:sz w:val="20"/>
                <w:szCs w:val="20"/>
              </w:rPr>
              <w:t xml:space="preserve">8.3</w:t>
            </w:r>
          </w:p>
        </w:tc>
        <w:tc>
          <w:tcPr>
            <w:tcW w:type="dxa" w:w="2808"/>
          </w:tcPr>
          <w:p>
            <w:r>
              <w:rPr>
                <w:rFonts w:ascii="Calibri" w:cs="Calibri" w:eastAsia="Calibri" w:hAnsi="Calibri"/>
                <w:b w:val="false"/>
                <w:bCs w:val="false"/>
                <w:color w:val="333333"/>
                <w:sz w:val="20"/>
                <w:szCs w:val="20"/>
              </w:rPr>
              <w:t xml:space="preserve">Submit PDF + Word formats</w:t>
            </w:r>
          </w:p>
        </w:tc>
        <w:tc>
          <w:tcPr>
            <w:tcW w:type="dxa" w:w="1872"/>
          </w:tcPr>
          <w:p>
            <w:r>
              <w:rPr>
                <w:rFonts w:ascii="Calibri" w:cs="Calibri" w:eastAsia="Calibri" w:hAnsi="Calibri"/>
                <w:b w:val="false"/>
                <w:bCs w:val="false"/>
                <w:color w:val="333333"/>
                <w:sz w:val="20"/>
                <w:szCs w:val="20"/>
              </w:rPr>
              <w:t xml:space="preserve">N/A</w:t>
            </w:r>
          </w:p>
        </w:tc>
        <w:tc>
          <w:tcPr>
            <w:tcW w:type="dxa" w:w="936"/>
          </w:tcPr>
          <w:p>
            <w:r>
              <w:rPr>
                <w:rFonts w:ascii="Calibri" w:cs="Calibri" w:eastAsia="Calibri" w:hAnsi="Calibri"/>
                <w:b w:val="false"/>
                <w:bCs w:val="false"/>
                <w:color w:val="333333"/>
                <w:sz w:val="20"/>
                <w:szCs w:val="20"/>
              </w:rPr>
              <w:t xml:space="preserve">COMPLIANT</w:t>
            </w:r>
          </w:p>
        </w:tc>
        <w:tc>
          <w:tcPr>
            <w:tcW w:type="dxa" w:w="2340"/>
          </w:tcPr>
          <w:p>
            <w:r>
              <w:rPr>
                <w:rFonts w:ascii="Calibri" w:cs="Calibri" w:eastAsia="Calibri" w:hAnsi="Calibri"/>
                <w:b w:val="false"/>
                <w:bCs w:val="false"/>
                <w:color w:val="333333"/>
                <w:sz w:val="20"/>
                <w:szCs w:val="20"/>
              </w:rPr>
              <w:t xml:space="preserve">.docx generated, PDF conversion needed</w:t>
            </w:r>
          </w:p>
        </w:tc>
      </w:tr>
      <w:tr>
        <w:tc>
          <w:tcPr>
            <w:tcW w:type="dxa" w:w="468"/>
          </w:tcPr>
          <w:p>
            <w:r>
              <w:rPr>
                <w:rFonts w:ascii="Calibri" w:cs="Calibri" w:eastAsia="Calibri" w:hAnsi="Calibri"/>
                <w:b w:val="false"/>
                <w:bCs w:val="false"/>
                <w:color w:val="333333"/>
                <w:sz w:val="20"/>
                <w:szCs w:val="20"/>
              </w:rPr>
              <w:t xml:space="preserve">7</w:t>
            </w:r>
          </w:p>
        </w:tc>
        <w:tc>
          <w:tcPr>
            <w:tcW w:type="dxa" w:w="936"/>
          </w:tcPr>
          <w:p>
            <w:r>
              <w:rPr>
                <w:rFonts w:ascii="Calibri" w:cs="Calibri" w:eastAsia="Calibri" w:hAnsi="Calibri"/>
                <w:b w:val="false"/>
                <w:bCs w:val="false"/>
                <w:color w:val="333333"/>
                <w:sz w:val="20"/>
                <w:szCs w:val="20"/>
              </w:rPr>
              <w:t xml:space="preserve">8.3</w:t>
            </w:r>
          </w:p>
        </w:tc>
        <w:tc>
          <w:tcPr>
            <w:tcW w:type="dxa" w:w="2808"/>
          </w:tcPr>
          <w:p>
            <w:r>
              <w:rPr>
                <w:rFonts w:ascii="Calibri" w:cs="Calibri" w:eastAsia="Calibri" w:hAnsi="Calibri"/>
                <w:b w:val="false"/>
                <w:bCs w:val="false"/>
                <w:color w:val="333333"/>
                <w:sz w:val="20"/>
                <w:szCs w:val="20"/>
              </w:rPr>
              <w:t xml:space="preserve">Pricing in Excel (.xlsx) format</w:t>
            </w:r>
          </w:p>
        </w:tc>
        <w:tc>
          <w:tcPr>
            <w:tcW w:type="dxa" w:w="1872"/>
          </w:tcPr>
          <w:p>
            <w:r>
              <w:rPr>
                <w:rFonts w:ascii="Calibri" w:cs="Calibri" w:eastAsia="Calibri" w:hAnsi="Calibri"/>
                <w:b w:val="false"/>
                <w:bCs w:val="false"/>
                <w:color w:val="333333"/>
                <w:sz w:val="20"/>
                <w:szCs w:val="20"/>
              </w:rPr>
              <w:t xml:space="preserve">Appendix B</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Excel worksheet required separately</w:t>
            </w:r>
          </w:p>
        </w:tc>
      </w:tr>
      <w:tr>
        <w:tc>
          <w:tcPr>
            <w:tcW w:type="dxa" w:w="468"/>
          </w:tcPr>
          <w:p>
            <w:r>
              <w:rPr>
                <w:rFonts w:ascii="Calibri" w:cs="Calibri" w:eastAsia="Calibri" w:hAnsi="Calibri"/>
                <w:b w:val="false"/>
                <w:bCs w:val="false"/>
                <w:color w:val="333333"/>
                <w:sz w:val="20"/>
                <w:szCs w:val="20"/>
              </w:rPr>
              <w:t xml:space="preserve">8</w:t>
            </w:r>
          </w:p>
        </w:tc>
        <w:tc>
          <w:tcPr>
            <w:tcW w:type="dxa" w:w="936"/>
          </w:tcPr>
          <w:p>
            <w:r>
              <w:rPr>
                <w:rFonts w:ascii="Calibri" w:cs="Calibri" w:eastAsia="Calibri" w:hAnsi="Calibri"/>
                <w:b w:val="false"/>
                <w:bCs w:val="false"/>
                <w:color w:val="333333"/>
                <w:sz w:val="20"/>
                <w:szCs w:val="20"/>
              </w:rPr>
              <w:t xml:space="preserve">8.3</w:t>
            </w:r>
          </w:p>
        </w:tc>
        <w:tc>
          <w:tcPr>
            <w:tcW w:type="dxa" w:w="2808"/>
          </w:tcPr>
          <w:p>
            <w:r>
              <w:rPr>
                <w:rFonts w:ascii="Calibri" w:cs="Calibri" w:eastAsia="Calibri" w:hAnsi="Calibri"/>
                <w:b w:val="false"/>
                <w:bCs w:val="false"/>
                <w:color w:val="333333"/>
                <w:sz w:val="20"/>
                <w:szCs w:val="20"/>
              </w:rPr>
              <w:t xml:space="preserve">Submit via Procurement Portal by May 15 5PM EST</w:t>
            </w:r>
          </w:p>
        </w:tc>
        <w:tc>
          <w:tcPr>
            <w:tcW w:type="dxa" w:w="1872"/>
          </w:tcPr>
          <w:p>
            <w:r>
              <w:rPr>
                <w:rFonts w:ascii="Calibri" w:cs="Calibri" w:eastAsia="Calibri" w:hAnsi="Calibri"/>
                <w:b w:val="false"/>
                <w:bCs w:val="false"/>
                <w:color w:val="333333"/>
                <w:sz w:val="20"/>
                <w:szCs w:val="20"/>
              </w:rPr>
              <w:t xml:space="preserve">N/A</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Portal submission pending</w:t>
            </w:r>
          </w:p>
        </w:tc>
      </w:tr>
      <w:tr>
        <w:tc>
          <w:tcPr>
            <w:tcW w:type="dxa" w:w="468"/>
          </w:tcPr>
          <w:p>
            <w:r>
              <w:rPr>
                <w:rFonts w:ascii="Calibri" w:cs="Calibri" w:eastAsia="Calibri" w:hAnsi="Calibri"/>
                <w:b w:val="false"/>
                <w:bCs w:val="false"/>
                <w:color w:val="333333"/>
                <w:sz w:val="20"/>
                <w:szCs w:val="20"/>
              </w:rPr>
              <w:t xml:space="preserve">9</w:t>
            </w:r>
          </w:p>
        </w:tc>
        <w:tc>
          <w:tcPr>
            <w:tcW w:type="dxa" w:w="936"/>
          </w:tcPr>
          <w:p>
            <w:r>
              <w:rPr>
                <w:rFonts w:ascii="Calibri" w:cs="Calibri" w:eastAsia="Calibri" w:hAnsi="Calibri"/>
                <w:b w:val="false"/>
                <w:bCs w:val="false"/>
                <w:color w:val="333333"/>
                <w:sz w:val="20"/>
                <w:szCs w:val="20"/>
              </w:rPr>
              <w:t xml:space="preserve">4.2</w:t>
            </w:r>
          </w:p>
        </w:tc>
        <w:tc>
          <w:tcPr>
            <w:tcW w:type="dxa" w:w="2808"/>
          </w:tcPr>
          <w:p>
            <w:r>
              <w:rPr>
                <w:rFonts w:ascii="Calibri" w:cs="Calibri" w:eastAsia="Calibri" w:hAnsi="Calibri"/>
                <w:b w:val="false"/>
                <w:bCs w:val="false"/>
                <w:color w:val="333333"/>
                <w:sz w:val="20"/>
                <w:szCs w:val="20"/>
              </w:rPr>
              <w:t xml:space="preserve">5 customer references</w:t>
            </w:r>
          </w:p>
        </w:tc>
        <w:tc>
          <w:tcPr>
            <w:tcW w:type="dxa" w:w="1872"/>
          </w:tcPr>
          <w:p>
            <w:r>
              <w:rPr>
                <w:rFonts w:ascii="Calibri" w:cs="Calibri" w:eastAsia="Calibri" w:hAnsi="Calibri"/>
                <w:b w:val="false"/>
                <w:bCs w:val="false"/>
                <w:color w:val="333333"/>
                <w:sz w:val="20"/>
                <w:szCs w:val="20"/>
              </w:rPr>
              <w:t xml:space="preserve">Section 7</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0 of 5 references populated — CRITICAL</w:t>
            </w:r>
          </w:p>
        </w:tc>
      </w:tr>
      <w:tr>
        <w:tc>
          <w:tcPr>
            <w:tcW w:type="dxa" w:w="468"/>
          </w:tcPr>
          <w:p>
            <w:r>
              <w:rPr>
                <w:rFonts w:ascii="Calibri" w:cs="Calibri" w:eastAsia="Calibri" w:hAnsi="Calibri"/>
                <w:b w:val="false"/>
                <w:bCs w:val="false"/>
                <w:color w:val="333333"/>
                <w:sz w:val="20"/>
                <w:szCs w:val="20"/>
              </w:rPr>
              <w:t xml:space="preserve">10</w:t>
            </w:r>
          </w:p>
        </w:tc>
        <w:tc>
          <w:tcPr>
            <w:tcW w:type="dxa" w:w="936"/>
          </w:tcPr>
          <w:p>
            <w:r>
              <w:rPr>
                <w:rFonts w:ascii="Calibri" w:cs="Calibri" w:eastAsia="Calibri" w:hAnsi="Calibri"/>
                <w:b w:val="false"/>
                <w:bCs w:val="false"/>
                <w:color w:val="333333"/>
                <w:sz w:val="20"/>
                <w:szCs w:val="20"/>
              </w:rPr>
              <w:t xml:space="preserve">4.2</w:t>
            </w:r>
          </w:p>
        </w:tc>
        <w:tc>
          <w:tcPr>
            <w:tcW w:type="dxa" w:w="2808"/>
          </w:tcPr>
          <w:p>
            <w:r>
              <w:rPr>
                <w:rFonts w:ascii="Calibri" w:cs="Calibri" w:eastAsia="Calibri" w:hAnsi="Calibri"/>
                <w:b w:val="false"/>
                <w:bCs w:val="false"/>
                <w:color w:val="333333"/>
                <w:sz w:val="20"/>
                <w:szCs w:val="20"/>
              </w:rPr>
              <w:t xml:space="preserve">3+ refs with 3,000+ CRM users</w:t>
            </w:r>
          </w:p>
        </w:tc>
        <w:tc>
          <w:tcPr>
            <w:tcW w:type="dxa" w:w="1872"/>
          </w:tcPr>
          <w:p>
            <w:r>
              <w:rPr>
                <w:rFonts w:ascii="Calibri" w:cs="Calibri" w:eastAsia="Calibri" w:hAnsi="Calibri"/>
                <w:b w:val="false"/>
                <w:bCs w:val="false"/>
                <w:color w:val="333333"/>
                <w:sz w:val="20"/>
                <w:szCs w:val="20"/>
              </w:rPr>
              <w:t xml:space="preserve">Section 7</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Reference details needed</w:t>
            </w:r>
          </w:p>
        </w:tc>
      </w:tr>
      <w:tr>
        <w:tc>
          <w:tcPr>
            <w:tcW w:type="dxa" w:w="468"/>
          </w:tcPr>
          <w:p>
            <w:r>
              <w:rPr>
                <w:rFonts w:ascii="Calibri" w:cs="Calibri" w:eastAsia="Calibri" w:hAnsi="Calibri"/>
                <w:b w:val="false"/>
                <w:bCs w:val="false"/>
                <w:color w:val="333333"/>
                <w:sz w:val="20"/>
                <w:szCs w:val="20"/>
              </w:rPr>
              <w:t xml:space="preserve">11</w:t>
            </w:r>
          </w:p>
        </w:tc>
        <w:tc>
          <w:tcPr>
            <w:tcW w:type="dxa" w:w="936"/>
          </w:tcPr>
          <w:p>
            <w:r>
              <w:rPr>
                <w:rFonts w:ascii="Calibri" w:cs="Calibri" w:eastAsia="Calibri" w:hAnsi="Calibri"/>
                <w:b w:val="false"/>
                <w:bCs w:val="false"/>
                <w:color w:val="333333"/>
                <w:sz w:val="20"/>
                <w:szCs w:val="20"/>
              </w:rPr>
              <w:t xml:space="preserve">4.2</w:t>
            </w:r>
          </w:p>
        </w:tc>
        <w:tc>
          <w:tcPr>
            <w:tcW w:type="dxa" w:w="2808"/>
          </w:tcPr>
          <w:p>
            <w:r>
              <w:rPr>
                <w:rFonts w:ascii="Calibri" w:cs="Calibri" w:eastAsia="Calibri" w:hAnsi="Calibri"/>
                <w:b w:val="false"/>
                <w:bCs w:val="false"/>
                <w:color w:val="333333"/>
                <w:sz w:val="20"/>
                <w:szCs w:val="20"/>
              </w:rPr>
              <w:t xml:space="preserve">2+ refs in manufacturing/industrial</w:t>
            </w:r>
          </w:p>
        </w:tc>
        <w:tc>
          <w:tcPr>
            <w:tcW w:type="dxa" w:w="1872"/>
          </w:tcPr>
          <w:p>
            <w:r>
              <w:rPr>
                <w:rFonts w:ascii="Calibri" w:cs="Calibri" w:eastAsia="Calibri" w:hAnsi="Calibri"/>
                <w:b w:val="false"/>
                <w:bCs w:val="false"/>
                <w:color w:val="333333"/>
                <w:sz w:val="20"/>
                <w:szCs w:val="20"/>
              </w:rPr>
              <w:t xml:space="preserve">Section 7</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Reference details needed</w:t>
            </w:r>
          </w:p>
        </w:tc>
      </w:tr>
      <w:tr>
        <w:tc>
          <w:tcPr>
            <w:tcW w:type="dxa" w:w="468"/>
          </w:tcPr>
          <w:p>
            <w:r>
              <w:rPr>
                <w:rFonts w:ascii="Calibri" w:cs="Calibri" w:eastAsia="Calibri" w:hAnsi="Calibri"/>
                <w:b w:val="false"/>
                <w:bCs w:val="false"/>
                <w:color w:val="333333"/>
                <w:sz w:val="20"/>
                <w:szCs w:val="20"/>
              </w:rPr>
              <w:t xml:space="preserve">12</w:t>
            </w:r>
          </w:p>
        </w:tc>
        <w:tc>
          <w:tcPr>
            <w:tcW w:type="dxa" w:w="936"/>
          </w:tcPr>
          <w:p>
            <w:r>
              <w:rPr>
                <w:rFonts w:ascii="Calibri" w:cs="Calibri" w:eastAsia="Calibri" w:hAnsi="Calibri"/>
                <w:b w:val="false"/>
                <w:bCs w:val="false"/>
                <w:color w:val="333333"/>
                <w:sz w:val="20"/>
                <w:szCs w:val="20"/>
              </w:rPr>
              <w:t xml:space="preserve">4.4</w:t>
            </w:r>
          </w:p>
        </w:tc>
        <w:tc>
          <w:tcPr>
            <w:tcW w:type="dxa" w:w="2808"/>
          </w:tcPr>
          <w:p>
            <w:r>
              <w:rPr>
                <w:rFonts w:ascii="Calibri" w:cs="Calibri" w:eastAsia="Calibri" w:hAnsi="Calibri"/>
                <w:b w:val="false"/>
                <w:bCs w:val="false"/>
                <w:color w:val="333333"/>
                <w:sz w:val="20"/>
                <w:szCs w:val="20"/>
              </w:rPr>
              <w:t xml:space="preserve">SOC 2 Type II certification (current)</w:t>
            </w:r>
          </w:p>
        </w:tc>
        <w:tc>
          <w:tcPr>
            <w:tcW w:type="dxa" w:w="1872"/>
          </w:tcPr>
          <w:p>
            <w:r>
              <w:rPr>
                <w:rFonts w:ascii="Calibri" w:cs="Calibri" w:eastAsia="Calibri" w:hAnsi="Calibri"/>
                <w:b w:val="false"/>
                <w:bCs w:val="false"/>
                <w:color w:val="333333"/>
                <w:sz w:val="20"/>
                <w:szCs w:val="20"/>
              </w:rPr>
              <w:t xml:space="preserve">Appendix D</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Certificate copy needed</w:t>
            </w:r>
          </w:p>
        </w:tc>
      </w:tr>
      <w:tr>
        <w:tc>
          <w:tcPr>
            <w:tcW w:type="dxa" w:w="468"/>
          </w:tcPr>
          <w:p>
            <w:r>
              <w:rPr>
                <w:rFonts w:ascii="Calibri" w:cs="Calibri" w:eastAsia="Calibri" w:hAnsi="Calibri"/>
                <w:b w:val="false"/>
                <w:bCs w:val="false"/>
                <w:color w:val="333333"/>
                <w:sz w:val="20"/>
                <w:szCs w:val="20"/>
              </w:rPr>
              <w:t xml:space="preserve">13</w:t>
            </w:r>
          </w:p>
        </w:tc>
        <w:tc>
          <w:tcPr>
            <w:tcW w:type="dxa" w:w="936"/>
          </w:tcPr>
          <w:p>
            <w:r>
              <w:rPr>
                <w:rFonts w:ascii="Calibri" w:cs="Calibri" w:eastAsia="Calibri" w:hAnsi="Calibri"/>
                <w:b w:val="false"/>
                <w:bCs w:val="false"/>
                <w:color w:val="333333"/>
                <w:sz w:val="20"/>
                <w:szCs w:val="20"/>
              </w:rPr>
              <w:t xml:space="preserve">4.4</w:t>
            </w:r>
          </w:p>
        </w:tc>
        <w:tc>
          <w:tcPr>
            <w:tcW w:type="dxa" w:w="2808"/>
          </w:tcPr>
          <w:p>
            <w:r>
              <w:rPr>
                <w:rFonts w:ascii="Calibri" w:cs="Calibri" w:eastAsia="Calibri" w:hAnsi="Calibri"/>
                <w:b w:val="false"/>
                <w:bCs w:val="false"/>
                <w:color w:val="333333"/>
                <w:sz w:val="20"/>
                <w:szCs w:val="20"/>
              </w:rPr>
              <w:t xml:space="preserve">ISO 27001 certification</w:t>
            </w:r>
          </w:p>
        </w:tc>
        <w:tc>
          <w:tcPr>
            <w:tcW w:type="dxa" w:w="1872"/>
          </w:tcPr>
          <w:p>
            <w:r>
              <w:rPr>
                <w:rFonts w:ascii="Calibri" w:cs="Calibri" w:eastAsia="Calibri" w:hAnsi="Calibri"/>
                <w:b w:val="false"/>
                <w:bCs w:val="false"/>
                <w:color w:val="333333"/>
                <w:sz w:val="20"/>
                <w:szCs w:val="20"/>
              </w:rPr>
              <w:t xml:space="preserve">Appendix D</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Certificate copy needed</w:t>
            </w:r>
          </w:p>
        </w:tc>
      </w:tr>
      <w:tr>
        <w:tc>
          <w:tcPr>
            <w:tcW w:type="dxa" w:w="468"/>
          </w:tcPr>
          <w:p>
            <w:r>
              <w:rPr>
                <w:rFonts w:ascii="Calibri" w:cs="Calibri" w:eastAsia="Calibri" w:hAnsi="Calibri"/>
                <w:b w:val="false"/>
                <w:bCs w:val="false"/>
                <w:color w:val="333333"/>
                <w:sz w:val="20"/>
                <w:szCs w:val="20"/>
              </w:rPr>
              <w:t xml:space="preserve">14</w:t>
            </w:r>
          </w:p>
        </w:tc>
        <w:tc>
          <w:tcPr>
            <w:tcW w:type="dxa" w:w="936"/>
          </w:tcPr>
          <w:p>
            <w:r>
              <w:rPr>
                <w:rFonts w:ascii="Calibri" w:cs="Calibri" w:eastAsia="Calibri" w:hAnsi="Calibri"/>
                <w:b w:val="false"/>
                <w:bCs w:val="false"/>
                <w:color w:val="333333"/>
                <w:sz w:val="20"/>
                <w:szCs w:val="20"/>
              </w:rPr>
              <w:t xml:space="preserve">8.4-A</w:t>
            </w:r>
          </w:p>
        </w:tc>
        <w:tc>
          <w:tcPr>
            <w:tcW w:type="dxa" w:w="2808"/>
          </w:tcPr>
          <w:p>
            <w:r>
              <w:rPr>
                <w:rFonts w:ascii="Calibri" w:cs="Calibri" w:eastAsia="Calibri" w:hAnsi="Calibri"/>
                <w:b w:val="false"/>
                <w:bCs w:val="false"/>
                <w:color w:val="333333"/>
                <w:sz w:val="20"/>
                <w:szCs w:val="20"/>
              </w:rPr>
              <w:t xml:space="preserve">Draft Statement of Work</w:t>
            </w:r>
          </w:p>
        </w:tc>
        <w:tc>
          <w:tcPr>
            <w:tcW w:type="dxa" w:w="1872"/>
          </w:tcPr>
          <w:p>
            <w:r>
              <w:rPr>
                <w:rFonts w:ascii="Calibri" w:cs="Calibri" w:eastAsia="Calibri" w:hAnsi="Calibri"/>
                <w:b w:val="false"/>
                <w:bCs w:val="false"/>
                <w:color w:val="333333"/>
                <w:sz w:val="20"/>
                <w:szCs w:val="20"/>
              </w:rPr>
              <w:t xml:space="preserve">Appendix A</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SOW not yet drafted</w:t>
            </w:r>
          </w:p>
        </w:tc>
      </w:tr>
      <w:tr>
        <w:tc>
          <w:tcPr>
            <w:tcW w:type="dxa" w:w="468"/>
          </w:tcPr>
          <w:p>
            <w:r>
              <w:rPr>
                <w:rFonts w:ascii="Calibri" w:cs="Calibri" w:eastAsia="Calibri" w:hAnsi="Calibri"/>
                <w:b w:val="false"/>
                <w:bCs w:val="false"/>
                <w:color w:val="333333"/>
                <w:sz w:val="20"/>
                <w:szCs w:val="20"/>
              </w:rPr>
              <w:t xml:space="preserve">15</w:t>
            </w:r>
          </w:p>
        </w:tc>
        <w:tc>
          <w:tcPr>
            <w:tcW w:type="dxa" w:w="936"/>
          </w:tcPr>
          <w:p>
            <w:r>
              <w:rPr>
                <w:rFonts w:ascii="Calibri" w:cs="Calibri" w:eastAsia="Calibri" w:hAnsi="Calibri"/>
                <w:b w:val="false"/>
                <w:bCs w:val="false"/>
                <w:color w:val="333333"/>
                <w:sz w:val="20"/>
                <w:szCs w:val="20"/>
              </w:rPr>
              <w:t xml:space="preserve">8.4-E</w:t>
            </w:r>
          </w:p>
        </w:tc>
        <w:tc>
          <w:tcPr>
            <w:tcW w:type="dxa" w:w="2808"/>
          </w:tcPr>
          <w:p>
            <w:r>
              <w:rPr>
                <w:rFonts w:ascii="Calibri" w:cs="Calibri" w:eastAsia="Calibri" w:hAnsi="Calibri"/>
                <w:b w:val="false"/>
                <w:bCs w:val="false"/>
                <w:color w:val="333333"/>
                <w:sz w:val="20"/>
                <w:szCs w:val="20"/>
              </w:rPr>
              <w:t xml:space="preserve">Key personnel resumes (4 required)</w:t>
            </w:r>
          </w:p>
        </w:tc>
        <w:tc>
          <w:tcPr>
            <w:tcW w:type="dxa" w:w="1872"/>
          </w:tcPr>
          <w:p>
            <w:r>
              <w:rPr>
                <w:rFonts w:ascii="Calibri" w:cs="Calibri" w:eastAsia="Calibri" w:hAnsi="Calibri"/>
                <w:b w:val="false"/>
                <w:bCs w:val="false"/>
                <w:color w:val="333333"/>
                <w:sz w:val="20"/>
                <w:szCs w:val="20"/>
              </w:rPr>
              <w:t xml:space="preserve">Appendix E</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0 of 4 resumes provided — CRITICAL</w:t>
            </w:r>
          </w:p>
        </w:tc>
      </w:tr>
      <w:tr>
        <w:tc>
          <w:tcPr>
            <w:tcW w:type="dxa" w:w="468"/>
          </w:tcPr>
          <w:p>
            <w:r>
              <w:rPr>
                <w:rFonts w:ascii="Calibri" w:cs="Calibri" w:eastAsia="Calibri" w:hAnsi="Calibri"/>
                <w:b w:val="false"/>
                <w:bCs w:val="false"/>
                <w:color w:val="333333"/>
                <w:sz w:val="20"/>
                <w:szCs w:val="20"/>
              </w:rPr>
              <w:t xml:space="preserve">16</w:t>
            </w:r>
          </w:p>
        </w:tc>
        <w:tc>
          <w:tcPr>
            <w:tcW w:type="dxa" w:w="936"/>
          </w:tcPr>
          <w:p>
            <w:r>
              <w:rPr>
                <w:rFonts w:ascii="Calibri" w:cs="Calibri" w:eastAsia="Calibri" w:hAnsi="Calibri"/>
                <w:b w:val="false"/>
                <w:bCs w:val="false"/>
                <w:color w:val="333333"/>
                <w:sz w:val="20"/>
                <w:szCs w:val="20"/>
              </w:rPr>
              <w:t xml:space="preserve">8.4-F</w:t>
            </w:r>
          </w:p>
        </w:tc>
        <w:tc>
          <w:tcPr>
            <w:tcW w:type="dxa" w:w="2808"/>
          </w:tcPr>
          <w:p>
            <w:r>
              <w:rPr>
                <w:rFonts w:ascii="Calibri" w:cs="Calibri" w:eastAsia="Calibri" w:hAnsi="Calibri"/>
                <w:b w:val="false"/>
                <w:bCs w:val="false"/>
                <w:color w:val="333333"/>
                <w:sz w:val="20"/>
                <w:szCs w:val="20"/>
              </w:rPr>
              <w:t xml:space="preserve">Sample project plan</w:t>
            </w:r>
          </w:p>
        </w:tc>
        <w:tc>
          <w:tcPr>
            <w:tcW w:type="dxa" w:w="1872"/>
          </w:tcPr>
          <w:p>
            <w:r>
              <w:rPr>
                <w:rFonts w:ascii="Calibri" w:cs="Calibri" w:eastAsia="Calibri" w:hAnsi="Calibri"/>
                <w:b w:val="false"/>
                <w:bCs w:val="false"/>
                <w:color w:val="333333"/>
                <w:sz w:val="20"/>
                <w:szCs w:val="20"/>
              </w:rPr>
              <w:t xml:space="preserve">Appendix F</w:t>
            </w:r>
          </w:p>
        </w:tc>
        <w:tc>
          <w:tcPr>
            <w:tcW w:type="dxa" w:w="936"/>
          </w:tcPr>
          <w:p>
            <w:r>
              <w:rPr>
                <w:rFonts w:ascii="Calibri" w:cs="Calibri" w:eastAsia="Calibri" w:hAnsi="Calibri"/>
                <w:b w:val="false"/>
                <w:bCs w:val="false"/>
                <w:color w:val="333333"/>
                <w:sz w:val="20"/>
                <w:szCs w:val="20"/>
              </w:rPr>
              <w:t xml:space="preserve">NON-COMPLIANT</w:t>
            </w:r>
          </w:p>
        </w:tc>
        <w:tc>
          <w:tcPr>
            <w:tcW w:type="dxa" w:w="2340"/>
          </w:tcPr>
          <w:p>
            <w:r>
              <w:rPr>
                <w:rFonts w:ascii="Calibri" w:cs="Calibri" w:eastAsia="Calibri" w:hAnsi="Calibri"/>
                <w:b w:val="false"/>
                <w:bCs w:val="false"/>
                <w:color w:val="333333"/>
                <w:sz w:val="20"/>
                <w:szCs w:val="20"/>
              </w:rPr>
              <w:t xml:space="preserve">Project plan not yet created</w:t>
            </w:r>
          </w:p>
        </w:tc>
      </w:tr>
      <w:tr>
        <w:tc>
          <w:tcPr>
            <w:tcW w:type="dxa" w:w="468"/>
          </w:tcPr>
          <w:p>
            <w:r>
              <w:rPr>
                <w:rFonts w:ascii="Calibri" w:cs="Calibri" w:eastAsia="Calibri" w:hAnsi="Calibri"/>
                <w:b w:val="false"/>
                <w:bCs w:val="false"/>
                <w:color w:val="333333"/>
                <w:sz w:val="20"/>
                <w:szCs w:val="20"/>
              </w:rPr>
              <w:t xml:space="preserve">17</w:t>
            </w:r>
          </w:p>
        </w:tc>
        <w:tc>
          <w:tcPr>
            <w:tcW w:type="dxa" w:w="936"/>
          </w:tcPr>
          <w:p>
            <w:r>
              <w:rPr>
                <w:rFonts w:ascii="Calibri" w:cs="Calibri" w:eastAsia="Calibri" w:hAnsi="Calibri"/>
                <w:b w:val="false"/>
                <w:bCs w:val="false"/>
                <w:color w:val="333333"/>
                <w:sz w:val="20"/>
                <w:szCs w:val="20"/>
              </w:rPr>
              <w:t xml:space="preserve">10.1</w:t>
            </w:r>
          </w:p>
        </w:tc>
        <w:tc>
          <w:tcPr>
            <w:tcW w:type="dxa" w:w="2808"/>
          </w:tcPr>
          <w:p>
            <w:r>
              <w:rPr>
                <w:rFonts w:ascii="Calibri" w:cs="Calibri" w:eastAsia="Calibri" w:hAnsi="Calibri"/>
                <w:b w:val="false"/>
                <w:bCs w:val="false"/>
                <w:color w:val="333333"/>
                <w:sz w:val="20"/>
                <w:szCs w:val="20"/>
              </w:rPr>
              <w:t xml:space="preserve">Execute NDA prior to submission</w:t>
            </w:r>
          </w:p>
        </w:tc>
        <w:tc>
          <w:tcPr>
            <w:tcW w:type="dxa" w:w="1872"/>
          </w:tcPr>
          <w:p>
            <w:r>
              <w:rPr>
                <w:rFonts w:ascii="Calibri" w:cs="Calibri" w:eastAsia="Calibri" w:hAnsi="Calibri"/>
                <w:b w:val="false"/>
                <w:bCs w:val="false"/>
                <w:color w:val="333333"/>
                <w:sz w:val="20"/>
                <w:szCs w:val="20"/>
              </w:rPr>
              <w:t xml:space="preserve">N/A</w:t>
            </w:r>
          </w:p>
        </w:tc>
        <w:tc>
          <w:tcPr>
            <w:tcW w:type="dxa" w:w="936"/>
          </w:tcPr>
          <w:p>
            <w:r>
              <w:rPr>
                <w:rFonts w:ascii="Calibri" w:cs="Calibri" w:eastAsia="Calibri" w:hAnsi="Calibri"/>
                <w:b w:val="false"/>
                <w:bCs w:val="false"/>
                <w:color w:val="333333"/>
                <w:sz w:val="20"/>
                <w:szCs w:val="20"/>
              </w:rPr>
              <w:t xml:space="preserve">PARTIAL</w:t>
            </w:r>
          </w:p>
        </w:tc>
        <w:tc>
          <w:tcPr>
            <w:tcW w:type="dxa" w:w="2340"/>
          </w:tcPr>
          <w:p>
            <w:r>
              <w:rPr>
                <w:rFonts w:ascii="Calibri" w:cs="Calibri" w:eastAsia="Calibri" w:hAnsi="Calibri"/>
                <w:b w:val="false"/>
                <w:bCs w:val="false"/>
                <w:color w:val="333333"/>
                <w:sz w:val="20"/>
                <w:szCs w:val="20"/>
              </w:rPr>
              <w:t xml:space="preserve">NDA execution status to confirm</w:t>
            </w:r>
          </w:p>
        </w:tc>
      </w:tr>
    </w:tbl>
    <w:sectPr>
      <w:headerReference w:type="default" r:id="rId7"/>
      <w:footerReference w:type="default" r:id="rId8"/>
      <w:pgSz w:w="12240" w:h="15840" w:orient="portrait"/>
      <w:pgMar w:top="1440" w:right="1440" w:bottom="1440" w:left="1440" w:header="708" w:footer="708" w:gutter="0"/>
      <w:pgNumType w:start="1"/>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Calibri" w:cs="Calibri" w:eastAsia="Calibri" w:hAnsi="Calibri"/>
        <w:color w:val="2C5F8A"/>
        <w:sz w:val="18"/>
        <w:szCs w:val="18"/>
      </w:rPr>
      <w:t xml:space="preserve">Response to Acme Corp RFP AC-RFP-2026-CRM-001  |  </w:t>
    </w:r>
    <w:r>
      <w:rPr>
        <w:rFonts w:ascii="Calibri" w:cs="Calibri" w:eastAsia="Calibri" w:hAnsi="Calibri"/>
        <w:color w:val="2C5F8A"/>
        <w:sz w:val="18"/>
        <w:szCs w:val="18"/>
      </w:rPr>
      <w:t xml:space="preserve">Page </w:t>
    </w:r>
    <w:r>
      <w:rPr>
        <w:rFonts w:ascii="Calibri" w:cs="Calibri" w:eastAsia="Calibri" w:hAnsi="Calibri"/>
        <w:color w:val="2C5F8A"/>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Calibri" w:cs="Calibri" w:eastAsia="Calibri" w:hAnsi="Calibri"/>
        <w:i/>
        <w:iCs/>
        <w:color w:val="2C5F8A"/>
        <w:sz w:val="18"/>
        <w:szCs w:val="18"/>
      </w:rPr>
      <w:t xml:space="preserve">CONFIDENTIAL — CRM Implementation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333333"/>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Enterprise CRM Implementation Proposal</dc:title>
  <dc:creator>[Your Company Name]</dc:creator>
  <dc:description>Proposal: Enterprise CRM Implementation Proposal</dc:description>
  <cp:lastModifiedBy>Un-named</cp:lastModifiedBy>
  <cp:revision>1</cp:revision>
  <dcterms:created xsi:type="dcterms:W3CDTF">2026-02-26T09:16:32.349Z</dcterms:created>
  <dcterms:modified xsi:type="dcterms:W3CDTF">2026-02-26T09:16:32.350Z</dcterms:modified>
</cp:coreProperties>
</file>

<file path=docProps/custom.xml><?xml version="1.0" encoding="utf-8"?>
<Properties xmlns="http://schemas.openxmlformats.org/officeDocument/2006/custom-properties" xmlns:vt="http://schemas.openxmlformats.org/officeDocument/2006/docPropsVTypes"/>
</file>