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pPr>
    </w:p>
    <w:p>
      <w:pPr>
        <w:spacing w:after="60"/>
      </w:pPr>
    </w:p>
    <w:p>
      <w:pPr>
        <w:spacing w:after="60"/>
      </w:pPr>
    </w:p>
    <w:p>
      <w:pPr>
        <w:spacing w:after="60"/>
      </w:pPr>
    </w:p>
    <w:p>
      <w:pPr>
        <w:spacing w:after="60"/>
      </w:pPr>
    </w:p>
    <w:p>
      <w:pPr>
        <w:spacing w:after="60"/>
      </w:pPr>
    </w:p>
    <w:p>
      <w:pPr>
        <w:spacing w:after="60"/>
      </w:pPr>
    </w:p>
    <w:p>
      <w:pPr>
        <w:spacing w:after="60"/>
      </w:pPr>
    </w:p>
    <w:p>
      <w:pPr>
        <w:spacing w:after="200"/>
        <w:jc w:val="center"/>
      </w:pPr>
      <w:r>
        <w:rPr>
          <w:rFonts w:ascii="Arial" w:cs="Arial" w:eastAsia="Arial" w:hAnsi="Arial"/>
          <w:b/>
          <w:bCs/>
          <w:color w:val="1B3A5C"/>
          <w:sz w:val="44"/>
          <w:szCs w:val="44"/>
        </w:rPr>
        <w:t xml:space="preserve">GLOBALTECH INDUSTRIES, INC.</w:t>
      </w:r>
    </w:p>
    <w:p>
      <w:pPr>
        <w:spacing w:after="100"/>
        <w:jc w:val="center"/>
      </w:pPr>
      <w:r>
        <w:rPr>
          <w:rFonts w:ascii="Arial" w:cs="Arial" w:eastAsia="Arial" w:hAnsi="Arial"/>
          <w:color w:val="2E5C8A"/>
          <w:sz w:val="36"/>
          <w:szCs w:val="36"/>
        </w:rPr>
        <w:t xml:space="preserve">Request for Proposal (RFP)</w:t>
      </w:r>
    </w:p>
    <w:p>
      <w:pPr>
        <w:spacing w:after="60"/>
      </w:pPr>
    </w:p>
    <w:p>
      <w:pPr>
        <w:spacing w:after="100"/>
        <w:jc w:val="center"/>
      </w:pPr>
      <w:r>
        <w:rPr>
          <w:rFonts w:ascii="Arial" w:cs="Arial" w:eastAsia="Arial" w:hAnsi="Arial"/>
          <w:b/>
          <w:bCs/>
          <w:color w:val="1B3A5C"/>
          <w:sz w:val="32"/>
          <w:szCs w:val="32"/>
        </w:rPr>
        <w:t xml:space="preserve">Enterprise Customer Relationship Management</w:t>
      </w:r>
    </w:p>
    <w:p>
      <w:pPr>
        <w:spacing w:after="100"/>
        <w:jc w:val="center"/>
      </w:pPr>
      <w:r>
        <w:rPr>
          <w:rFonts w:ascii="Arial" w:cs="Arial" w:eastAsia="Arial" w:hAnsi="Arial"/>
          <w:b/>
          <w:bCs/>
          <w:color w:val="1B3A5C"/>
          <w:sz w:val="32"/>
          <w:szCs w:val="32"/>
        </w:rPr>
        <w:t xml:space="preserve">(CRM) Software Implementation</w:t>
      </w:r>
    </w:p>
    <w:p>
      <w:pPr>
        <w:spacing w:after="60"/>
      </w:pPr>
    </w:p>
    <w:p>
      <w:pPr>
        <w:spacing w:after="60"/>
      </w:pPr>
    </w:p>
    <w:p>
      <w:pPr>
        <w:spacing w:after="60"/>
      </w:pPr>
    </w:p>
    <w:p>
      <w:pPr>
        <w:pBdr>
          <w:top w:val="single" w:color="2E5C8A" w:sz="6" w:space="1"/>
        </w:pBdr>
        <w:spacing w:after="0"/>
        <w:jc w:val="center"/>
      </w:pPr>
    </w:p>
    <w:p>
      <w:pPr>
        <w:spacing w:after="60"/>
      </w:pPr>
    </w:p>
    <w:p>
      <w:pPr>
        <w:spacing w:after="60"/>
        <w:jc w:val="center"/>
      </w:pPr>
      <w:r>
        <w:rPr>
          <w:rFonts w:ascii="Arial" w:cs="Arial" w:eastAsia="Arial" w:hAnsi="Arial"/>
          <w:b/>
          <w:bCs/>
          <w:color w:val="1B3A5C"/>
          <w:sz w:val="22"/>
          <w:szCs w:val="22"/>
        </w:rPr>
        <w:t xml:space="preserve">RFP Reference Number: </w:t>
      </w:r>
      <w:r>
        <w:rPr>
          <w:rFonts w:ascii="Arial" w:cs="Arial" w:eastAsia="Arial" w:hAnsi="Arial"/>
          <w:sz w:val="22"/>
          <w:szCs w:val="22"/>
        </w:rPr>
        <w:t xml:space="preserve">GTI-RFP-2026-CRM-001</w:t>
      </w:r>
    </w:p>
    <w:p>
      <w:pPr>
        <w:spacing w:after="60"/>
        <w:jc w:val="center"/>
      </w:pPr>
      <w:r>
        <w:rPr>
          <w:rFonts w:ascii="Arial" w:cs="Arial" w:eastAsia="Arial" w:hAnsi="Arial"/>
          <w:b/>
          <w:bCs/>
          <w:color w:val="1B3A5C"/>
          <w:sz w:val="22"/>
          <w:szCs w:val="22"/>
        </w:rPr>
        <w:t xml:space="preserve">Issue Date: </w:t>
      </w:r>
      <w:r>
        <w:rPr>
          <w:rFonts w:ascii="Arial" w:cs="Arial" w:eastAsia="Arial" w:hAnsi="Arial"/>
          <w:sz w:val="22"/>
          <w:szCs w:val="22"/>
        </w:rPr>
        <w:t xml:space="preserve">March 15, 2026</w:t>
      </w:r>
    </w:p>
    <w:p>
      <w:pPr>
        <w:spacing w:after="60"/>
        <w:jc w:val="center"/>
      </w:pPr>
      <w:r>
        <w:rPr>
          <w:rFonts w:ascii="Arial" w:cs="Arial" w:eastAsia="Arial" w:hAnsi="Arial"/>
          <w:b/>
          <w:bCs/>
          <w:color w:val="1B3A5C"/>
          <w:sz w:val="22"/>
          <w:szCs w:val="22"/>
        </w:rPr>
        <w:t xml:space="preserve">Submission Deadline: </w:t>
      </w:r>
      <w:r>
        <w:rPr>
          <w:rFonts w:ascii="Arial" w:cs="Arial" w:eastAsia="Arial" w:hAnsi="Arial"/>
          <w:sz w:val="22"/>
          <w:szCs w:val="22"/>
        </w:rPr>
        <w:t xml:space="preserve">May 15, 2026, 5:00 PM EST</w:t>
      </w:r>
    </w:p>
    <w:p>
      <w:pPr>
        <w:spacing w:after="60"/>
        <w:jc w:val="center"/>
      </w:pPr>
      <w:r>
        <w:rPr>
          <w:rFonts w:ascii="Arial" w:cs="Arial" w:eastAsia="Arial" w:hAnsi="Arial"/>
          <w:b/>
          <w:bCs/>
          <w:color w:val="1B3A5C"/>
          <w:sz w:val="22"/>
          <w:szCs w:val="22"/>
        </w:rPr>
        <w:t xml:space="preserve">Issuing Organization: </w:t>
      </w:r>
      <w:r>
        <w:rPr>
          <w:rFonts w:ascii="Arial" w:cs="Arial" w:eastAsia="Arial" w:hAnsi="Arial"/>
          <w:sz w:val="22"/>
          <w:szCs w:val="22"/>
        </w:rPr>
        <w:t xml:space="preserve">GlobalTech Industries, Inc.</w:t>
      </w:r>
    </w:p>
    <w:p>
      <w:pPr>
        <w:spacing w:after="60"/>
        <w:jc w:val="center"/>
      </w:pPr>
      <w:r>
        <w:rPr>
          <w:rFonts w:ascii="Arial" w:cs="Arial" w:eastAsia="Arial" w:hAnsi="Arial"/>
          <w:b/>
          <w:bCs/>
          <w:color w:val="1B3A5C"/>
          <w:sz w:val="22"/>
          <w:szCs w:val="22"/>
        </w:rPr>
        <w:t xml:space="preserve">Primary Contact: </w:t>
      </w:r>
      <w:r>
        <w:rPr>
          <w:rFonts w:ascii="Arial" w:cs="Arial" w:eastAsia="Arial" w:hAnsi="Arial"/>
          <w:sz w:val="22"/>
          <w:szCs w:val="22"/>
        </w:rPr>
        <w:t xml:space="preserve">Sarah Chen, VP of Digital Transformation</w:t>
      </w:r>
    </w:p>
    <w:p>
      <w:pPr>
        <w:spacing w:after="60"/>
        <w:jc w:val="center"/>
      </w:pPr>
      <w:r>
        <w:rPr>
          <w:rFonts w:ascii="Arial" w:cs="Arial" w:eastAsia="Arial" w:hAnsi="Arial"/>
          <w:b/>
          <w:bCs/>
          <w:color w:val="1B3A5C"/>
          <w:sz w:val="22"/>
          <w:szCs w:val="22"/>
        </w:rPr>
        <w:t xml:space="preserve">Classification: </w:t>
      </w:r>
      <w:r>
        <w:rPr>
          <w:rFonts w:ascii="Arial" w:cs="Arial" w:eastAsia="Arial" w:hAnsi="Arial"/>
          <w:sz w:val="22"/>
          <w:szCs w:val="22"/>
        </w:rPr>
        <w:t xml:space="preserve">CONFIDENTIAL</w:t>
      </w:r>
    </w:p>
    <w:p>
      <w:pPr>
        <w:spacing w:after="60"/>
      </w:pPr>
    </w:p>
    <w:p>
      <w:pPr>
        <w:spacing w:after="60"/>
      </w:pPr>
    </w:p>
    <w:p>
      <w:pPr>
        <w:spacing w:after="60"/>
      </w:pPr>
    </w:p>
    <w:p>
      <w:pPr>
        <w:spacing w:after="60"/>
      </w:pPr>
    </w:p>
    <w:p>
      <w:pPr>
        <w:spacing w:after="60"/>
      </w:pPr>
    </w:p>
    <w:p>
      <w:pPr>
        <w:spacing w:after="60"/>
      </w:pPr>
    </w:p>
    <w:p>
      <w:pPr>
        <w:spacing w:after="60"/>
        <w:jc w:val="center"/>
      </w:pPr>
      <w:r>
        <w:rPr>
          <w:rFonts w:ascii="Arial" w:cs="Arial" w:eastAsia="Arial" w:hAnsi="Arial"/>
          <w:i/>
          <w:iCs/>
          <w:color w:val="666666"/>
          <w:sz w:val="18"/>
          <w:szCs w:val="18"/>
        </w:rPr>
        <w:t xml:space="preserve">This document contains confidential and proprietary information.</w:t>
      </w:r>
    </w:p>
    <w:p>
      <w:pPr>
        <w:spacing w:after="60"/>
        <w:jc w:val="center"/>
      </w:pPr>
      <w:r>
        <w:rPr>
          <w:rFonts w:ascii="Arial" w:cs="Arial" w:eastAsia="Arial" w:hAnsi="Arial"/>
          <w:i/>
          <w:iCs/>
          <w:color w:val="666666"/>
          <w:sz w:val="18"/>
          <w:szCs w:val="18"/>
        </w:rPr>
        <w:t xml:space="preserve">Unauthorized distribution is strictly prohibited.</w:t>
      </w:r>
    </w:p>
    <w:p>
      <w:r>
        <w:br w:type="page"/>
      </w:r>
    </w:p>
    <w:p>
      <w:pPr>
        <w:spacing w:after="300"/>
      </w:pPr>
      <w:r>
        <w:rPr>
          <w:rFonts w:ascii="Arial" w:cs="Arial" w:eastAsia="Arial" w:hAnsi="Arial"/>
          <w:b/>
          <w:bCs/>
          <w:color w:val="1B3A5C"/>
          <w:sz w:val="32"/>
          <w:szCs w:val="32"/>
        </w:rPr>
        <w:t xml:space="preserve">Table of Contents</w:t>
      </w:r>
    </w:p>
    <w:sdt>
      <w:sdtPr>
        <w:alias w:val="Table of Content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1. Executive Summary &amp; Background</w:t>
      </w:r>
    </w:p>
    <w:p>
      <w:pPr>
        <w:pStyle w:val="Heading2"/>
      </w:pPr>
      <w:r>
        <w:t xml:space="preserve">1.1 Company Overview</w:t>
      </w:r>
    </w:p>
    <w:p>
      <w:pPr>
        <w:spacing w:after="120"/>
      </w:pPr>
      <w:r>
        <w:rPr>
          <w:rFonts w:ascii="Arial" w:cs="Arial" w:eastAsia="Arial" w:hAnsi="Arial"/>
          <w:sz w:val="22"/>
          <w:szCs w:val="22"/>
        </w:rPr>
        <w:t xml:space="preserve">GlobalTech Industries, Inc. ("GlobalTech" or "the Company") is a Fortune 500 multinational manufacturing conglomerate headquartered in Chicago, Illinois. Founded in 1987, GlobalTech has grown into one of the world's leading producers of advanced industrial components, precision engineering systems, and next-generation materials for the aerospace, automotive, energy, and telecommunications sectors.</w:t>
      </w:r>
    </w:p>
    <w:p>
      <w:pPr>
        <w:spacing w:after="120"/>
      </w:pPr>
      <w:r>
        <w:rPr>
          <w:rFonts w:ascii="Arial" w:cs="Arial" w:eastAsia="Arial" w:hAnsi="Arial"/>
          <w:sz w:val="22"/>
          <w:szCs w:val="22"/>
        </w:rPr>
        <w:t xml:space="preserve">The Company employs approximately 15,000 full-time employees across 25 countries, with major operations in the United States, Germany, the United Kingdom, China, Japan, Mexico, Brazil, India, Singapore, and Australia. GlobalTech operates 42 manufacturing facilities, 18 research and development centers, and 65 sales offices worldwide. The Company reported annual revenue of $8.7 billion in fiscal year 2025, with a compound annual growth rate (CAGR) of 11.2% over the past five years.</w:t>
      </w:r>
    </w:p>
    <w:p>
      <w:pPr>
        <w:spacing w:after="120"/>
      </w:pPr>
      <w:r>
        <w:rPr>
          <w:rFonts w:ascii="Arial" w:cs="Arial" w:eastAsia="Arial" w:hAnsi="Arial"/>
          <w:sz w:val="22"/>
          <w:szCs w:val="22"/>
        </w:rPr>
        <w:t xml:space="preserve">GlobalTech's customer base includes over 12,000 active accounts spanning Fortune 1000 enterprises, mid-market manufacturers, and government agencies. The Company manages approximately 3.2 million customer contacts and processes over 250,000 sales transactions annually across its business divisions: Aerospace Components, Automotive Systems, Energy Solutions, and Telecommunications Infrastructure.</w:t>
      </w:r>
    </w:p>
    <w:p>
      <w:pPr>
        <w:pStyle w:val="Heading2"/>
      </w:pPr>
      <w:r>
        <w:t xml:space="preserve">1.2 Current State Assessment</w:t>
      </w:r>
    </w:p>
    <w:p>
      <w:pPr>
        <w:spacing w:after="120"/>
      </w:pPr>
      <w:r>
        <w:rPr>
          <w:rFonts w:ascii="Arial" w:cs="Arial" w:eastAsia="Arial" w:hAnsi="Arial"/>
          <w:sz w:val="22"/>
          <w:szCs w:val="22"/>
        </w:rPr>
        <w:t xml:space="preserve">GlobalTech currently operates a fragmented CRM landscape consisting of multiple disconnected systems accumulated through organic growth and acquisitions over the past 15 years. This heterogeneous environment presents significant operational challenges:</w:t>
      </w:r>
    </w:p>
    <w:p>
      <w:pPr>
        <w:spacing w:after="120"/>
      </w:pPr>
      <w:r>
        <w:rPr>
          <w:rFonts w:ascii="Arial" w:cs="Arial" w:eastAsia="Arial" w:hAnsi="Arial"/>
          <w:b/>
          <w:bCs/>
          <w:sz w:val="22"/>
          <w:szCs w:val="22"/>
        </w:rPr>
        <w:t xml:space="preserve">Salesforce Sales Cloud: </w:t>
      </w:r>
      <w:r>
        <w:rPr>
          <w:rFonts w:ascii="Arial" w:cs="Arial" w:eastAsia="Arial" w:hAnsi="Arial"/>
          <w:sz w:val="22"/>
          <w:szCs w:val="22"/>
        </w:rPr>
        <w:t xml:space="preserve">Deployed in 2014 for the North American sales organization (1,200 users). Currently running a heavily customized instance with 340+ custom objects and 1,500+ automation rules. License costs have increased 45% over the past three years.</w:t>
      </w:r>
    </w:p>
    <w:p>
      <w:pPr>
        <w:spacing w:after="120"/>
      </w:pPr>
      <w:r>
        <w:rPr>
          <w:rFonts w:ascii="Arial" w:cs="Arial" w:eastAsia="Arial" w:hAnsi="Arial"/>
          <w:b/>
          <w:bCs/>
          <w:sz w:val="22"/>
          <w:szCs w:val="22"/>
        </w:rPr>
        <w:t xml:space="preserve">Microsoft Dynamics 365: </w:t>
      </w:r>
      <w:r>
        <w:rPr>
          <w:rFonts w:ascii="Arial" w:cs="Arial" w:eastAsia="Arial" w:hAnsi="Arial"/>
          <w:sz w:val="22"/>
          <w:szCs w:val="22"/>
        </w:rPr>
        <w:t xml:space="preserve">Implemented in 2017 for EMEA operations (800 users) following the acquisition of EuroPrecision GmbH. Integration with the North American Salesforce instance remains limited to a nightly batch data synchronization.</w:t>
      </w:r>
    </w:p>
    <w:p>
      <w:pPr>
        <w:spacing w:after="120"/>
      </w:pPr>
      <w:r>
        <w:rPr>
          <w:rFonts w:ascii="Arial" w:cs="Arial" w:eastAsia="Arial" w:hAnsi="Arial"/>
          <w:b/>
          <w:bCs/>
          <w:sz w:val="22"/>
          <w:szCs w:val="22"/>
        </w:rPr>
        <w:t xml:space="preserve">Custom Legacy Systems: </w:t>
      </w:r>
      <w:r>
        <w:rPr>
          <w:rFonts w:ascii="Arial" w:cs="Arial" w:eastAsia="Arial" w:hAnsi="Arial"/>
          <w:sz w:val="22"/>
          <w:szCs w:val="22"/>
        </w:rPr>
        <w:t xml:space="preserve">The APAC region operates on two proprietary CRM applications built on Oracle databases (600 users). These systems, developed between 2008 and 2012, lack modern API capabilities and present significant security vulnerabilities.</w:t>
      </w:r>
    </w:p>
    <w:p>
      <w:pPr>
        <w:spacing w:after="120"/>
      </w:pPr>
      <w:r>
        <w:rPr>
          <w:rFonts w:ascii="Arial" w:cs="Arial" w:eastAsia="Arial" w:hAnsi="Arial"/>
          <w:b/>
          <w:bCs/>
          <w:sz w:val="22"/>
          <w:szCs w:val="22"/>
        </w:rPr>
        <w:t xml:space="preserve">Spreadsheet-Based Tracking: </w:t>
      </w:r>
      <w:r>
        <w:rPr>
          <w:rFonts w:ascii="Arial" w:cs="Arial" w:eastAsia="Arial" w:hAnsi="Arial"/>
          <w:sz w:val="22"/>
          <w:szCs w:val="22"/>
        </w:rPr>
        <w:t xml:space="preserve">Approximately 900 sales representatives across Latin America and emerging markets rely on Excel spreadsheets and shared drives for customer management, resulting in minimal visibility and data governance.</w:t>
      </w:r>
    </w:p>
    <w:p>
      <w:pPr>
        <w:pStyle w:val="Heading2"/>
      </w:pPr>
      <w:r>
        <w:t xml:space="preserve">1.3 Strategic Business Drivers</w:t>
      </w:r>
    </w:p>
    <w:p>
      <w:pPr>
        <w:spacing w:after="120"/>
      </w:pPr>
      <w:r>
        <w:rPr>
          <w:rFonts w:ascii="Arial" w:cs="Arial" w:eastAsia="Arial" w:hAnsi="Arial"/>
          <w:sz w:val="22"/>
          <w:szCs w:val="22"/>
        </w:rPr>
        <w:t xml:space="preserve">The decision to pursue a unified CRM platform is driven by the following strategic imperatives:</w:t>
      </w:r>
    </w:p>
    <w:p>
      <w:pPr>
        <w:spacing w:after="120"/>
      </w:pPr>
      <w:r>
        <w:rPr>
          <w:rFonts w:ascii="Arial" w:cs="Arial" w:eastAsia="Arial" w:hAnsi="Arial"/>
          <w:b/>
          <w:bCs/>
          <w:sz w:val="22"/>
          <w:szCs w:val="22"/>
        </w:rPr>
        <w:t xml:space="preserve">Revenue Growth Acceleration: </w:t>
      </w:r>
      <w:r>
        <w:rPr>
          <w:rFonts w:ascii="Arial" w:cs="Arial" w:eastAsia="Arial" w:hAnsi="Arial"/>
          <w:sz w:val="22"/>
          <w:szCs w:val="22"/>
        </w:rPr>
        <w:t xml:space="preserve">The Company's strategic plan targets 15% revenue growth annually through 2030. Achieving this requires a modern CRM platform that enables data-driven selling, cross-selling, and customer lifecycle management across all regions.</w:t>
      </w:r>
    </w:p>
    <w:p>
      <w:pPr>
        <w:spacing w:after="120"/>
      </w:pPr>
      <w:r>
        <w:rPr>
          <w:rFonts w:ascii="Arial" w:cs="Arial" w:eastAsia="Arial" w:hAnsi="Arial"/>
          <w:b/>
          <w:bCs/>
          <w:sz w:val="22"/>
          <w:szCs w:val="22"/>
        </w:rPr>
        <w:t xml:space="preserve">Customer Experience Transformation: </w:t>
      </w:r>
      <w:r>
        <w:rPr>
          <w:rFonts w:ascii="Arial" w:cs="Arial" w:eastAsia="Arial" w:hAnsi="Arial"/>
          <w:sz w:val="22"/>
          <w:szCs w:val="22"/>
        </w:rPr>
        <w:t xml:space="preserve">Customer satisfaction scores (NPS) have declined from 62 to 47 over the past two years, attributed partly to inconsistent service experiences across regions and lack of a unified customer view.</w:t>
      </w:r>
    </w:p>
    <w:p>
      <w:pPr>
        <w:spacing w:after="120"/>
      </w:pPr>
      <w:r>
        <w:rPr>
          <w:rFonts w:ascii="Arial" w:cs="Arial" w:eastAsia="Arial" w:hAnsi="Arial"/>
          <w:b/>
          <w:bCs/>
          <w:sz w:val="22"/>
          <w:szCs w:val="22"/>
        </w:rPr>
        <w:t xml:space="preserve">Operational Efficiency: </w:t>
      </w:r>
      <w:r>
        <w:rPr>
          <w:rFonts w:ascii="Arial" w:cs="Arial" w:eastAsia="Arial" w:hAnsi="Arial"/>
          <w:sz w:val="22"/>
          <w:szCs w:val="22"/>
        </w:rPr>
        <w:t xml:space="preserve">Sales representatives spend an estimated 32% of their time on administrative tasks and data entry across multiple systems. The target is to reduce this to under 15% through automation and system consolidation.</w:t>
      </w:r>
    </w:p>
    <w:p>
      <w:pPr>
        <w:spacing w:after="120"/>
      </w:pPr>
      <w:r>
        <w:rPr>
          <w:rFonts w:ascii="Arial" w:cs="Arial" w:eastAsia="Arial" w:hAnsi="Arial"/>
          <w:b/>
          <w:bCs/>
          <w:sz w:val="22"/>
          <w:szCs w:val="22"/>
        </w:rPr>
        <w:t xml:space="preserve">Data-Driven Decision Making: </w:t>
      </w:r>
      <w:r>
        <w:rPr>
          <w:rFonts w:ascii="Arial" w:cs="Arial" w:eastAsia="Arial" w:hAnsi="Arial"/>
          <w:sz w:val="22"/>
          <w:szCs w:val="22"/>
        </w:rPr>
        <w:t xml:space="preserve">The lack of a single source of truth for customer data impedes accurate forecasting. Current forecast accuracy is approximately 58%, and the target is to achieve 85%+ accuracy within 18 months of deployment.</w:t>
      </w:r>
    </w:p>
    <w:p>
      <w:pPr>
        <w:spacing w:after="120"/>
      </w:pPr>
      <w:r>
        <w:rPr>
          <w:rFonts w:ascii="Arial" w:cs="Arial" w:eastAsia="Arial" w:hAnsi="Arial"/>
          <w:b/>
          <w:bCs/>
          <w:sz w:val="22"/>
          <w:szCs w:val="22"/>
        </w:rPr>
        <w:t xml:space="preserve">Regulatory Compliance: </w:t>
      </w:r>
      <w:r>
        <w:rPr>
          <w:rFonts w:ascii="Arial" w:cs="Arial" w:eastAsia="Arial" w:hAnsi="Arial"/>
          <w:sz w:val="22"/>
          <w:szCs w:val="22"/>
        </w:rPr>
        <w:t xml:space="preserve">Evolving data privacy regulations (GDPR, CCPA, PIPL) require a platform with robust consent management, data residency controls, and audit capabilities that the legacy systems cannot adequately support.</w:t>
      </w:r>
    </w:p>
    <w:p>
      <w:pPr>
        <w:pStyle w:val="Heading2"/>
      </w:pPr>
      <w:r>
        <w:t xml:space="preserve">1.4 Project Timeline &amp; Budget</w:t>
      </w:r>
    </w:p>
    <w:p>
      <w:pPr>
        <w:spacing w:after="120"/>
      </w:pPr>
      <w:r>
        <w:rPr>
          <w:rFonts w:ascii="Arial" w:cs="Arial" w:eastAsia="Arial" w:hAnsi="Arial"/>
          <w:sz w:val="22"/>
          <w:szCs w:val="22"/>
        </w:rPr>
        <w:t xml:space="preserve">GlobalTech has allocated a total implementation budget range of $5,000,000 to $8,000,000 USD for this initiative, inclusive of software licensing (Year 1), professional services, data migration, training, and change management. Ongoing annual operating costs (licenses, support, maintenance) should be presented separately as part of the five-year Total Cost of Ownership (TCO) analysis.</w:t>
      </w:r>
    </w:p>
    <w:p>
      <w:pPr>
        <w:spacing w:after="120"/>
      </w:pPr>
      <w:r>
        <w:rPr>
          <w:rFonts w:ascii="Arial" w:cs="Arial" w:eastAsia="Arial" w:hAnsi="Arial"/>
          <w:sz w:val="22"/>
          <w:szCs w:val="22"/>
        </w:rPr>
        <w:t xml:space="preserve">The target project timeline spans 18 to 24 months from contract signing to full global deployment, with the following high-level milestones: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2400"/>
        <w:gridCol w:w="1560"/>
        <w:gridCol w:w="4200"/>
      </w:tblGrid>
      <w:tr>
        <w:tc>
          <w:tcPr>
            <w:tcW w:type="dxa" w:w="12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Phase</w:t>
            </w:r>
          </w:p>
        </w:tc>
        <w:tc>
          <w:tcPr>
            <w:tcW w:type="dxa" w:w="2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c>
          <w:tcPr>
            <w:tcW w:type="dxa" w:w="1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Timeline</w:t>
            </w:r>
          </w:p>
        </w:tc>
        <w:tc>
          <w:tcPr>
            <w:tcW w:type="dxa" w:w="42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Key Activities</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Phase 1</w:t>
            </w:r>
          </w:p>
        </w:tc>
        <w:tc>
          <w:tcPr>
            <w:tcW w:type="dxa" w:w="2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Project Initiation &amp; Design</w:t>
            </w:r>
          </w:p>
        </w:tc>
        <w:tc>
          <w:tcPr>
            <w:tcW w:type="dxa" w:w="1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Months 1-3</w:t>
            </w:r>
          </w:p>
        </w:tc>
        <w:tc>
          <w:tcPr>
            <w:tcW w:type="dxa" w:w="4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Requirements validation, solution design, project planning</w:t>
            </w:r>
          </w:p>
        </w:tc>
      </w:tr>
      <w:tr>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Phase 2</w:t>
            </w:r>
          </w:p>
        </w:tc>
        <w:tc>
          <w:tcPr>
            <w:tcW w:type="dxa" w:w="2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Core Platform Build</w:t>
            </w:r>
          </w:p>
        </w:tc>
        <w:tc>
          <w:tcPr>
            <w:tcW w:type="dxa" w:w="1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Months 4-8</w:t>
            </w:r>
          </w:p>
        </w:tc>
        <w:tc>
          <w:tcPr>
            <w:tcW w:type="dxa" w:w="4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Configuration, customization, integration development</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Phase 3</w:t>
            </w:r>
          </w:p>
        </w:tc>
        <w:tc>
          <w:tcPr>
            <w:tcW w:type="dxa" w:w="2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North America Pilot</w:t>
            </w:r>
          </w:p>
        </w:tc>
        <w:tc>
          <w:tcPr>
            <w:tcW w:type="dxa" w:w="1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Months 9-12</w:t>
            </w:r>
          </w:p>
        </w:tc>
        <w:tc>
          <w:tcPr>
            <w:tcW w:type="dxa" w:w="4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UAT, pilot deployment (500 users), performance tuning</w:t>
            </w:r>
          </w:p>
        </w:tc>
      </w:tr>
      <w:tr>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Phase 4</w:t>
            </w:r>
          </w:p>
        </w:tc>
        <w:tc>
          <w:tcPr>
            <w:tcW w:type="dxa" w:w="2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EMEA &amp; APAC Rollout</w:t>
            </w:r>
          </w:p>
        </w:tc>
        <w:tc>
          <w:tcPr>
            <w:tcW w:type="dxa" w:w="1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Months 13-18</w:t>
            </w:r>
          </w:p>
        </w:tc>
        <w:tc>
          <w:tcPr>
            <w:tcW w:type="dxa" w:w="4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Regional deployments with localization and training</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Phase 5</w:t>
            </w:r>
          </w:p>
        </w:tc>
        <w:tc>
          <w:tcPr>
            <w:tcW w:type="dxa" w:w="2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Global Completion</w:t>
            </w:r>
          </w:p>
        </w:tc>
        <w:tc>
          <w:tcPr>
            <w:tcW w:type="dxa" w:w="1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Months 19-24</w:t>
            </w:r>
          </w:p>
        </w:tc>
        <w:tc>
          <w:tcPr>
            <w:tcW w:type="dxa" w:w="4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LATAM and remaining regions, optimization, hypercare</w:t>
            </w:r>
          </w:p>
        </w:tc>
      </w:tr>
    </w:tbl>
    <w:p>
      <w:pPr>
        <w:spacing w:after="60"/>
      </w:pPr>
    </w:p>
    <w:p>
      <w:r>
        <w:br w:type="page"/>
      </w:r>
    </w:p>
    <w:p>
      <w:pPr>
        <w:pStyle w:val="Heading1"/>
      </w:pPr>
      <w:r>
        <w:t xml:space="preserve">2. Project Scope &amp; Objectives</w:t>
      </w:r>
    </w:p>
    <w:p>
      <w:pPr>
        <w:pStyle w:val="Heading2"/>
      </w:pPr>
      <w:r>
        <w:t xml:space="preserve">2.1 Business Objectives</w:t>
      </w:r>
    </w:p>
    <w:p>
      <w:pPr>
        <w:spacing w:after="120"/>
      </w:pPr>
      <w:r>
        <w:rPr>
          <w:rFonts w:ascii="Arial" w:cs="Arial" w:eastAsia="Arial" w:hAnsi="Arial"/>
          <w:sz w:val="22"/>
          <w:szCs w:val="22"/>
        </w:rPr>
        <w:t xml:space="preserve">The CRM implementation must deliver measurable business outcomes aligned with GlobalTech's strategic plan. Vendors must demonstrate how their proposed solution will achieve the following objectives: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5760"/>
        <w:gridCol w:w="2400"/>
      </w:tblGrid>
      <w:tr>
        <w:tc>
          <w:tcPr>
            <w:tcW w:type="dxa" w:w="12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ID</w:t>
            </w:r>
          </w:p>
        </w:tc>
        <w:tc>
          <w:tcPr>
            <w:tcW w:type="dxa" w:w="57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Objective</w:t>
            </w:r>
          </w:p>
        </w:tc>
        <w:tc>
          <w:tcPr>
            <w:tcW w:type="dxa" w:w="2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Strategic Theme</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OBJ-01</w:t>
            </w:r>
          </w:p>
        </w:tc>
        <w:tc>
          <w:tcPr>
            <w:tcW w:type="dxa" w:w="5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Increase sales productivity by 25% within 12 months of go-live</w:t>
            </w:r>
          </w:p>
        </w:tc>
        <w:tc>
          <w:tcPr>
            <w:tcW w:type="dxa" w:w="2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Revenue Growth</w:t>
            </w:r>
          </w:p>
        </w:tc>
      </w:tr>
      <w:tr>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OBJ-02</w:t>
            </w:r>
          </w:p>
        </w:tc>
        <w:tc>
          <w:tcPr>
            <w:tcW w:type="dxa" w:w="5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Improve forecast accuracy from 58% to 85%+ within 18 months</w:t>
            </w:r>
          </w:p>
        </w:tc>
        <w:tc>
          <w:tcPr>
            <w:tcW w:type="dxa" w:w="2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Data &amp; Analytics</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OBJ-03</w:t>
            </w:r>
          </w:p>
        </w:tc>
        <w:tc>
          <w:tcPr>
            <w:tcW w:type="dxa" w:w="5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Achieve 360-degree customer view across all business divisions</w:t>
            </w:r>
          </w:p>
        </w:tc>
        <w:tc>
          <w:tcPr>
            <w:tcW w:type="dxa" w:w="2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Customer Experience</w:t>
            </w:r>
          </w:p>
        </w:tc>
      </w:tr>
      <w:tr>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OBJ-04</w:t>
            </w:r>
          </w:p>
        </w:tc>
        <w:tc>
          <w:tcPr>
            <w:tcW w:type="dxa" w:w="5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Reduce average customer service resolution time by 40%</w:t>
            </w:r>
          </w:p>
        </w:tc>
        <w:tc>
          <w:tcPr>
            <w:tcW w:type="dxa" w:w="2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Customer Experience</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OBJ-05</w:t>
            </w:r>
          </w:p>
        </w:tc>
        <w:tc>
          <w:tcPr>
            <w:tcW w:type="dxa" w:w="5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Increase customer retention rate from 82% to 90%+</w:t>
            </w:r>
          </w:p>
        </w:tc>
        <w:tc>
          <w:tcPr>
            <w:tcW w:type="dxa" w:w="2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Customer Experience</w:t>
            </w:r>
          </w:p>
        </w:tc>
      </w:tr>
      <w:tr>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OBJ-06</w:t>
            </w:r>
          </w:p>
        </w:tc>
        <w:tc>
          <w:tcPr>
            <w:tcW w:type="dxa" w:w="5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Achieve 90%+ user adoption across all regions within 6 months of deployment</w:t>
            </w:r>
          </w:p>
        </w:tc>
        <w:tc>
          <w:tcPr>
            <w:tcW w:type="dxa" w:w="2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Change Management</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OBJ-07</w:t>
            </w:r>
          </w:p>
        </w:tc>
        <w:tc>
          <w:tcPr>
            <w:tcW w:type="dxa" w:w="5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Reduce total CRM operating costs by 30% through platform consolidation</w:t>
            </w:r>
          </w:p>
        </w:tc>
        <w:tc>
          <w:tcPr>
            <w:tcW w:type="dxa" w:w="2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Cost Optimization</w:t>
            </w:r>
          </w:p>
        </w:tc>
      </w:tr>
      <w:tr>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OBJ-08</w:t>
            </w:r>
          </w:p>
        </w:tc>
        <w:tc>
          <w:tcPr>
            <w:tcW w:type="dxa" w:w="5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Enable marketing-to-sales lead handoff within 2 hours of qualification</w:t>
            </w:r>
          </w:p>
        </w:tc>
        <w:tc>
          <w:tcPr>
            <w:tcW w:type="dxa" w:w="2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Process Efficiency</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OBJ-09</w:t>
            </w:r>
          </w:p>
        </w:tc>
        <w:tc>
          <w:tcPr>
            <w:tcW w:type="dxa" w:w="5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Achieve full regulatory compliance across all operating jurisdictions</w:t>
            </w:r>
          </w:p>
        </w:tc>
        <w:tc>
          <w:tcPr>
            <w:tcW w:type="dxa" w:w="2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Compliance</w:t>
            </w:r>
          </w:p>
        </w:tc>
      </w:tr>
      <w:tr>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OBJ-10</w:t>
            </w:r>
          </w:p>
        </w:tc>
        <w:tc>
          <w:tcPr>
            <w:tcW w:type="dxa" w:w="5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Establish a scalable platform supporting projected growth through 2032</w:t>
            </w:r>
          </w:p>
        </w:tc>
        <w:tc>
          <w:tcPr>
            <w:tcW w:type="dxa" w:w="2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Strategic Planning</w:t>
            </w:r>
          </w:p>
        </w:tc>
      </w:tr>
    </w:tbl>
    <w:p>
      <w:pPr>
        <w:spacing w:after="60"/>
      </w:pPr>
    </w:p>
    <w:p>
      <w:pPr>
        <w:pStyle w:val="Heading2"/>
      </w:pPr>
      <w:r>
        <w:t xml:space="preserve">2.2 User Base &amp; Licensing Requirements</w:t>
      </w:r>
    </w:p>
    <w:p>
      <w:pPr>
        <w:spacing w:after="120"/>
      </w:pPr>
      <w:r>
        <w:rPr>
          <w:rFonts w:ascii="Arial" w:cs="Arial" w:eastAsia="Arial" w:hAnsi="Arial"/>
          <w:sz w:val="22"/>
          <w:szCs w:val="22"/>
        </w:rPr>
        <w:t xml:space="preserve">The solution must accommodate the following user categories with appropriate licensing tiers: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1200"/>
        <w:gridCol w:w="3560"/>
        <w:gridCol w:w="2600"/>
      </w:tblGrid>
      <w:tr>
        <w:tc>
          <w:tcPr>
            <w:tcW w:type="dxa" w:w="2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User Category</w:t>
            </w:r>
          </w:p>
        </w:tc>
        <w:tc>
          <w:tcPr>
            <w:tcW w:type="dxa" w:w="12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Count</w:t>
            </w:r>
          </w:p>
        </w:tc>
        <w:tc>
          <w:tcPr>
            <w:tcW w:type="dxa" w:w="3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Primary Functions</w:t>
            </w:r>
          </w:p>
        </w:tc>
        <w:tc>
          <w:tcPr>
            <w:tcW w:type="dxa" w:w="26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Geographic Distribution</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Sales Users</w:t>
            </w:r>
          </w:p>
        </w:tc>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3,500</w:t>
            </w:r>
          </w:p>
        </w:tc>
        <w:tc>
          <w:tcPr>
            <w:tcW w:type="dxa" w:w="3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Full CRM functionality</w:t>
            </w:r>
          </w:p>
        </w:tc>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All 25 countries</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Marketing Users</w:t>
            </w:r>
          </w:p>
        </w:tc>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500</w:t>
            </w:r>
          </w:p>
        </w:tc>
        <w:tc>
          <w:tcPr>
            <w:tcW w:type="dxa" w:w="3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Marketing automation, campaign management</w:t>
            </w:r>
          </w:p>
        </w:tc>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US, UK, DE, CN, JP</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Customer Service Agents</w:t>
            </w:r>
          </w:p>
        </w:tc>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200</w:t>
            </w:r>
          </w:p>
        </w:tc>
        <w:tc>
          <w:tcPr>
            <w:tcW w:type="dxa" w:w="3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Case management, knowledge base</w:t>
            </w:r>
          </w:p>
        </w:tc>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US, UK, DE, IN</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Executive/Read-Only</w:t>
            </w:r>
          </w:p>
        </w:tc>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150</w:t>
            </w:r>
          </w:p>
        </w:tc>
        <w:tc>
          <w:tcPr>
            <w:tcW w:type="dxa" w:w="3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Dashboards, reports, analytics</w:t>
            </w:r>
          </w:p>
        </w:tc>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Global</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System Administrators</w:t>
            </w:r>
          </w:p>
        </w:tc>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25</w:t>
            </w:r>
          </w:p>
        </w:tc>
        <w:tc>
          <w:tcPr>
            <w:tcW w:type="dxa" w:w="3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Full admin, configuration, customization</w:t>
            </w:r>
          </w:p>
        </w:tc>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US, UK, SG</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Integration Users</w:t>
            </w:r>
          </w:p>
        </w:tc>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20</w:t>
            </w:r>
          </w:p>
        </w:tc>
        <w:tc>
          <w:tcPr>
            <w:tcW w:type="dxa" w:w="3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API access for system integrations</w:t>
            </w:r>
          </w:p>
        </w:tc>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US, DE</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Total</w:t>
            </w:r>
          </w:p>
        </w:tc>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4,395</w:t>
            </w:r>
          </w:p>
        </w:tc>
        <w:tc>
          <w:tcPr>
            <w:tcW w:type="dxa" w:w="3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
            </w:r>
          </w:p>
        </w:tc>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
            </w:r>
          </w:p>
        </w:tc>
      </w:tr>
    </w:tbl>
    <w:p>
      <w:pPr>
        <w:spacing w:after="60"/>
      </w:pPr>
    </w:p>
    <w:p>
      <w:pPr>
        <w:pStyle w:val="Heading2"/>
      </w:pPr>
      <w:r>
        <w:t xml:space="preserve">2.3 Geographic &amp; Language Requirements</w:t>
      </w:r>
    </w:p>
    <w:p>
      <w:pPr>
        <w:spacing w:after="120"/>
      </w:pPr>
      <w:r>
        <w:rPr>
          <w:rFonts w:ascii="Arial" w:cs="Arial" w:eastAsia="Arial" w:hAnsi="Arial"/>
          <w:sz w:val="22"/>
          <w:szCs w:val="22"/>
        </w:rPr>
        <w:t xml:space="preserve">The platform must support full multi-language capabilities for the following primary languages, including user interface localization, data entry, search, reporting, and knowledge base content:</w:t>
      </w:r>
    </w:p>
    <w:p>
      <w:pPr>
        <w:spacing w:after="120"/>
      </w:pPr>
      <w:r>
        <w:rPr>
          <w:rFonts w:ascii="Arial" w:cs="Arial" w:eastAsia="Arial" w:hAnsi="Arial"/>
          <w:sz w:val="22"/>
          <w:szCs w:val="22"/>
        </w:rPr>
        <w:t xml:space="preserve">Primary Languages (Full Localization): English (US/UK), Spanish (Latin American/European), German, Mandarin Chinese (Simplified), Japanese.</w:t>
      </w:r>
    </w:p>
    <w:p>
      <w:pPr>
        <w:spacing w:after="120"/>
      </w:pPr>
      <w:r>
        <w:rPr>
          <w:rFonts w:ascii="Arial" w:cs="Arial" w:eastAsia="Arial" w:hAnsi="Arial"/>
          <w:sz w:val="22"/>
          <w:szCs w:val="22"/>
        </w:rPr>
        <w:t xml:space="preserve">Secondary Languages (User Interface Only): French, Portuguese (Brazilian), Hindi, Korean, Italian, Dutch, Polish, Thai, Bahasa Indonesia.</w:t>
      </w:r>
    </w:p>
    <w:p>
      <w:pPr>
        <w:spacing w:after="120"/>
      </w:pPr>
      <w:r>
        <w:rPr>
          <w:rFonts w:ascii="Arial" w:cs="Arial" w:eastAsia="Arial" w:hAnsi="Arial"/>
          <w:sz w:val="22"/>
          <w:szCs w:val="22"/>
        </w:rPr>
        <w:t xml:space="preserve">The solution must support multi-currency operations across all 25 countries with automatic exchange rate updates from a reliable financial data source. Date, time, number, and address formatting must adapt to local conventions based on user locale settings.</w:t>
      </w:r>
    </w:p>
    <w:p>
      <w:pPr>
        <w:pStyle w:val="Heading2"/>
      </w:pPr>
      <w:r>
        <w:t xml:space="preserve">2.4 Integration Landscape</w:t>
      </w:r>
    </w:p>
    <w:p>
      <w:pPr>
        <w:spacing w:after="120"/>
      </w:pPr>
      <w:r>
        <w:rPr>
          <w:rFonts w:ascii="Arial" w:cs="Arial" w:eastAsia="Arial" w:hAnsi="Arial"/>
          <w:sz w:val="22"/>
          <w:szCs w:val="22"/>
        </w:rPr>
        <w:t xml:space="preserve">The CRM platform must integrate seamlessly with GlobalTech's existing enterprise technology ecosystem. The following systems represent mandatory integration points: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2200"/>
        <w:gridCol w:w="2360"/>
        <w:gridCol w:w="2800"/>
      </w:tblGrid>
      <w:tr>
        <w:tc>
          <w:tcPr>
            <w:tcW w:type="dxa" w:w="2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System</w:t>
            </w:r>
          </w:p>
        </w:tc>
        <w:tc>
          <w:tcPr>
            <w:tcW w:type="dxa" w:w="22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Category</w:t>
            </w:r>
          </w:p>
        </w:tc>
        <w:tc>
          <w:tcPr>
            <w:tcW w:type="dxa" w:w="23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Integration Pattern</w:t>
            </w:r>
          </w:p>
        </w:tc>
        <w:tc>
          <w:tcPr>
            <w:tcW w:type="dxa" w:w="28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Data Scope</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SAP S/4HANA</w:t>
            </w:r>
          </w:p>
        </w:tc>
        <w:tc>
          <w:tcPr>
            <w:tcW w:type="dxa" w:w="2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Enterprise Resource Planning</w:t>
            </w:r>
          </w:p>
        </w:tc>
        <w:tc>
          <w:tcPr>
            <w:tcW w:type="dxa" w:w="23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Bi-directional, real-time</w:t>
            </w:r>
          </w:p>
        </w:tc>
        <w:tc>
          <w:tcPr>
            <w:tcW w:type="dxa" w:w="2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Accounts, orders, invoices, inventory</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Marketo Engage</w:t>
            </w:r>
          </w:p>
        </w:tc>
        <w:tc>
          <w:tcPr>
            <w:tcW w:type="dxa" w:w="2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Marketing Automation</w:t>
            </w:r>
          </w:p>
        </w:tc>
        <w:tc>
          <w:tcPr>
            <w:tcW w:type="dxa" w:w="23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Bi-directional, near-real-time</w:t>
            </w:r>
          </w:p>
        </w:tc>
        <w:tc>
          <w:tcPr>
            <w:tcW w:type="dxa" w:w="2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Leads, campaigns, engagement data</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Shopify Plus</w:t>
            </w:r>
          </w:p>
        </w:tc>
        <w:tc>
          <w:tcPr>
            <w:tcW w:type="dxa" w:w="2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B2B E-Commerce</w:t>
            </w:r>
          </w:p>
        </w:tc>
        <w:tc>
          <w:tcPr>
            <w:tcW w:type="dxa" w:w="23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Bi-directional, real-time</w:t>
            </w:r>
          </w:p>
        </w:tc>
        <w:tc>
          <w:tcPr>
            <w:tcW w:type="dxa" w:w="2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Orders, customers, product catalog</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Microsoft 365</w:t>
            </w:r>
          </w:p>
        </w:tc>
        <w:tc>
          <w:tcPr>
            <w:tcW w:type="dxa" w:w="2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Productivity Suite</w:t>
            </w:r>
          </w:p>
        </w:tc>
        <w:tc>
          <w:tcPr>
            <w:tcW w:type="dxa" w:w="23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Bi-directional</w:t>
            </w:r>
          </w:p>
        </w:tc>
        <w:tc>
          <w:tcPr>
            <w:tcW w:type="dxa" w:w="2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Email, calendar, documents, Teams</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Azure AD</w:t>
            </w:r>
          </w:p>
        </w:tc>
        <w:tc>
          <w:tcPr>
            <w:tcW w:type="dxa" w:w="2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Identity Management</w:t>
            </w:r>
          </w:p>
        </w:tc>
        <w:tc>
          <w:tcPr>
            <w:tcW w:type="dxa" w:w="23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SSO/SAML</w:t>
            </w:r>
          </w:p>
        </w:tc>
        <w:tc>
          <w:tcPr>
            <w:tcW w:type="dxa" w:w="2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User authentication, provisioning</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Snowflake</w:t>
            </w:r>
          </w:p>
        </w:tc>
        <w:tc>
          <w:tcPr>
            <w:tcW w:type="dxa" w:w="2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Data Warehouse</w:t>
            </w:r>
          </w:p>
        </w:tc>
        <w:tc>
          <w:tcPr>
            <w:tcW w:type="dxa" w:w="23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Outbound, scheduled</w:t>
            </w:r>
          </w:p>
        </w:tc>
        <w:tc>
          <w:tcPr>
            <w:tcW w:type="dxa" w:w="2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Analytics, reporting, data lake</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Genesys Cloud</w:t>
            </w:r>
          </w:p>
        </w:tc>
        <w:tc>
          <w:tcPr>
            <w:tcW w:type="dxa" w:w="2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Contact Center</w:t>
            </w:r>
          </w:p>
        </w:tc>
        <w:tc>
          <w:tcPr>
            <w:tcW w:type="dxa" w:w="23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Bi-directional, real-time</w:t>
            </w:r>
          </w:p>
        </w:tc>
        <w:tc>
          <w:tcPr>
            <w:tcW w:type="dxa" w:w="2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CTI, call logging, routing</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Power BI</w:t>
            </w:r>
          </w:p>
        </w:tc>
        <w:tc>
          <w:tcPr>
            <w:tcW w:type="dxa" w:w="2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Business Intelligence</w:t>
            </w:r>
          </w:p>
        </w:tc>
        <w:tc>
          <w:tcPr>
            <w:tcW w:type="dxa" w:w="23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Outbound, real-time</w:t>
            </w:r>
          </w:p>
        </w:tc>
        <w:tc>
          <w:tcPr>
            <w:tcW w:type="dxa" w:w="2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Dashboards, embedded analytics</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DocuSign</w:t>
            </w:r>
          </w:p>
        </w:tc>
        <w:tc>
          <w:tcPr>
            <w:tcW w:type="dxa" w:w="2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Electronic Signatures</w:t>
            </w:r>
          </w:p>
        </w:tc>
        <w:tc>
          <w:tcPr>
            <w:tcW w:type="dxa" w:w="23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Bi-directional</w:t>
            </w:r>
          </w:p>
        </w:tc>
        <w:tc>
          <w:tcPr>
            <w:tcW w:type="dxa" w:w="2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Contracts, proposals, agreements</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SharePoint Online</w:t>
            </w:r>
          </w:p>
        </w:tc>
        <w:tc>
          <w:tcPr>
            <w:tcW w:type="dxa" w:w="2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Document Management</w:t>
            </w:r>
          </w:p>
        </w:tc>
        <w:tc>
          <w:tcPr>
            <w:tcW w:type="dxa" w:w="23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Bi-directional</w:t>
            </w:r>
          </w:p>
        </w:tc>
        <w:tc>
          <w:tcPr>
            <w:tcW w:type="dxa" w:w="2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Sales collateral, templates</w:t>
            </w:r>
          </w:p>
        </w:tc>
      </w:tr>
    </w:tbl>
    <w:p>
      <w:pPr>
        <w:spacing w:after="60"/>
      </w:pPr>
    </w:p>
    <w:p>
      <w:r>
        <w:br w:type="page"/>
      </w:r>
    </w:p>
    <w:p>
      <w:pPr>
        <w:pStyle w:val="Heading1"/>
      </w:pPr>
      <w:r>
        <w:t xml:space="preserve">3. Technical Requirements</w:t>
      </w:r>
    </w:p>
    <w:p>
      <w:pPr>
        <w:spacing w:after="120"/>
      </w:pPr>
      <w:r>
        <w:rPr>
          <w:rFonts w:ascii="Arial" w:cs="Arial" w:eastAsia="Arial" w:hAnsi="Arial"/>
          <w:sz w:val="22"/>
          <w:szCs w:val="22"/>
        </w:rPr>
        <w:t xml:space="preserve">This section details the comprehensive functional and non-functional requirements for the CRM platform. Each requirement is assigned a unique identifier, priority classification, and weighting factor (1-5 scale) to support objective evaluation.</w:t>
      </w:r>
    </w:p>
    <w:p>
      <w:pPr>
        <w:spacing w:after="120"/>
      </w:pPr>
      <w:r>
        <w:rPr>
          <w:rFonts w:ascii="Arial" w:cs="Arial" w:eastAsia="Arial" w:hAnsi="Arial"/>
          <w:sz w:val="22"/>
          <w:szCs w:val="22"/>
        </w:rPr>
        <w:t xml:space="preserve">Priority classifications are defined as follows:</w:t>
      </w:r>
    </w:p>
    <w:p>
      <w:pPr>
        <w:spacing w:after="120"/>
      </w:pPr>
      <w:r>
        <w:rPr>
          <w:rFonts w:ascii="Arial" w:cs="Arial" w:eastAsia="Arial" w:hAnsi="Arial"/>
          <w:b/>
          <w:bCs/>
          <w:sz w:val="22"/>
          <w:szCs w:val="22"/>
        </w:rPr>
        <w:t xml:space="preserve">Must-Have: </w:t>
      </w:r>
      <w:r>
        <w:rPr>
          <w:rFonts w:ascii="Arial" w:cs="Arial" w:eastAsia="Arial" w:hAnsi="Arial"/>
          <w:sz w:val="22"/>
          <w:szCs w:val="22"/>
        </w:rPr>
        <w:t xml:space="preserve">Mandatory requirement. The solution must demonstrate this capability at the time of proposal submission or provide a committed delivery timeline within the implementation period.</w:t>
      </w:r>
    </w:p>
    <w:p>
      <w:pPr>
        <w:spacing w:after="120"/>
      </w:pPr>
      <w:r>
        <w:rPr>
          <w:rFonts w:ascii="Arial" w:cs="Arial" w:eastAsia="Arial" w:hAnsi="Arial"/>
          <w:b/>
          <w:bCs/>
          <w:sz w:val="22"/>
          <w:szCs w:val="22"/>
        </w:rPr>
        <w:t xml:space="preserve">Nice-to-Have: </w:t>
      </w:r>
      <w:r>
        <w:rPr>
          <w:rFonts w:ascii="Arial" w:cs="Arial" w:eastAsia="Arial" w:hAnsi="Arial"/>
          <w:sz w:val="22"/>
          <w:szCs w:val="22"/>
        </w:rPr>
        <w:t xml:space="preserve">Desirable requirement. The solution should ideally support this capability, but its absence will not result in disqualification. Solutions offering these features will receive additional scoring credit.</w:t>
      </w:r>
    </w:p>
    <w:p>
      <w:pPr>
        <w:pStyle w:val="Heading2"/>
      </w:pPr>
      <w:r>
        <w:t xml:space="preserve">3.1 Sales Force Automation (SFA)</w:t>
      </w:r>
    </w:p>
    <w:p>
      <w:pPr>
        <w:spacing w:after="120"/>
      </w:pPr>
      <w:r>
        <w:rPr>
          <w:rFonts w:ascii="Arial" w:cs="Arial" w:eastAsia="Arial" w:hAnsi="Arial"/>
          <w:sz w:val="22"/>
          <w:szCs w:val="22"/>
        </w:rPr>
        <w:t xml:space="preserve">The Sales Force Automation module must provide comprehensive support for GlobalTech's complex B2B sales processes, including multi-stage opportunity management, territory planning, and channel partner management.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5560"/>
        <w:gridCol w:w="1400"/>
        <w:gridCol w:w="1000"/>
      </w:tblGrid>
      <w:tr>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Req ID</w:t>
            </w:r>
          </w:p>
        </w:tc>
        <w:tc>
          <w:tcPr>
            <w:tcW w:type="dxa" w:w="5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Priority</w:t>
            </w:r>
          </w:p>
        </w:tc>
        <w:tc>
          <w:tcPr>
            <w:tcW w:type="dxa" w:w="1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Weight</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REQ-SFA-001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Lead capture and management with automatic scoring and routing</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REQ-SFA-002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Opportunity tracking with configurable sales stages and probability weighting</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REQ-SFA-003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Pipeline management with visual drag-and-drop Kanban views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REQ-SFA-004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Forecast management with multi-dimensional forecasting (territory, product, team)</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REQ-SFA-005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Territory management with hierarchical assignment rules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REQ-SFA-006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Quote and proposal generation with product catalog integration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REQ-SFA-007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Contract lifecycle management with renewal tracking</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REQ-SFA-008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Activity management (calls, emails, meetings) with automatic logging</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REQ-SFA-009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Contact and account hierarchy management</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REQ-SFA-010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Duplicate detection and merge capabilities across accounts and contacts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REQ-SFA-011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Email integration with Microsoft Outlook and Gmail</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REQ-SFA-012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Calendar synchronization with major calendar platforms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REQ-SFA-013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Document management and version control for sales collateral</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REQ-SFA-014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Sales playbook and guided selling workflows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REQ-SFA-015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Partner/channel sales management with deal registration</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REQ-SFA-016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Revenue intelligence with AI-driven deal scoring</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REQ-SFA-017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Competitor tracking and win/loss analysis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REQ-SFA-018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Product catalog management with configurable pricing rules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REQ-SFA-019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Multi-currency support for 25+ currencies with automatic conversion</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REQ-SFA-020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Sales commission calculation and tracking</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REQ-SFA-021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Customer 360-degree view consolidating all interaction history</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REQ-SFA-022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Approval workflows for discounts, quotes, and contracts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REQ-SFA-023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Sales team collaboration tools (chat, file sharing, @mentions)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REQ-SFA-024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Configurable dashboards with real-time sales metrics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REQ-SFA-025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Bulk import/export of leads, contacts, and opportunities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REQ-SFA-026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Automated lead nurturing sequences triggered by buyer behavior</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REQ-SFA-027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Sales performance leaderboards and gamification</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2</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REQ-SFA-028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Custom object creation for industry-specific data models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REQ-SFA-029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Workflow automation engine with conditional logic and triggers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REQ-SFA-030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Real-time notifications and alerts for key sales events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bl>
    <w:p>
      <w:pPr>
        <w:spacing w:after="60"/>
      </w:pPr>
    </w:p>
    <w:p>
      <w:pPr>
        <w:pStyle w:val="Heading2"/>
      </w:pPr>
      <w:r>
        <w:t xml:space="preserve">3.2 Marketing Automation</w:t>
      </w:r>
    </w:p>
    <w:p>
      <w:pPr>
        <w:spacing w:after="120"/>
      </w:pPr>
      <w:r>
        <w:rPr>
          <w:rFonts w:ascii="Arial" w:cs="Arial" w:eastAsia="Arial" w:hAnsi="Arial"/>
          <w:sz w:val="22"/>
          <w:szCs w:val="22"/>
        </w:rPr>
        <w:t xml:space="preserve">The Marketing Automation module must enable GlobalTech's marketing teams to plan, execute, and measure multi-channel campaigns while maintaining alignment with sales objectives and regulatory requirements.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5560"/>
        <w:gridCol w:w="1400"/>
        <w:gridCol w:w="1000"/>
      </w:tblGrid>
      <w:tr>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Req ID</w:t>
            </w:r>
          </w:p>
        </w:tc>
        <w:tc>
          <w:tcPr>
            <w:tcW w:type="dxa" w:w="5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Priority</w:t>
            </w:r>
          </w:p>
        </w:tc>
        <w:tc>
          <w:tcPr>
            <w:tcW w:type="dxa" w:w="1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Weight</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REQ-MA-001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Campaign management across email, social, web, and event channels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REQ-MA-002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Email marketing with dynamic content personalization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REQ-MA-003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Marketing automation workflows with branching logic</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REQ-MA-004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Landing page builder with A/B testing capabilities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REQ-MA-005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Form builder with progressive profiling</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REQ-MA-006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Lead scoring models with behavioral and demographic criteria</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REQ-MA-007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Lead lifecycle management with marketing-to-sales handoff SLAs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REQ-MA-008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Multi-touch attribution modeling (first touch, last touch, linear, custom)</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REQ-MA-009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Social media management and listening integration</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REQ-MA-010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Web analytics and visitor tracking with known contact identification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REQ-MA-011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Content management system for marketing assets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REQ-MA-012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Event management (webinars, conferences, trade shows)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REQ-MA-013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SMS and mobile push notification campaigns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REQ-MA-014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Marketing calendar with cross-team visibility</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REQ-MA-015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Budget tracking and ROI analysis by campaign</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REQ-MA-016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Audience segmentation with dynamic list management</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REQ-MA-017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Consent and preference management for regulatory compliance</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REQ-MA-018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Integration with advertising platforms (Google Ads, LinkedIn, Meta)</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REQ-MA-019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Account-based marketing (ABM) capabilities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REQ-MA-020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Marketing performance dashboards with KPI tracking</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REQ-MA-021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AI-powered content recommendations and send-time optimization</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REQ-MA-022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Template management for emails, landing pages, and forms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REQ-MA-023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UTM parameter management and campaign tracking</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REQ-MA-024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Drip campaign management with engagement-based triggers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REQ-MA-025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Marketing data hygiene tools (deduplication, enrichment)</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bl>
    <w:p>
      <w:pPr>
        <w:spacing w:after="60"/>
      </w:pPr>
    </w:p>
    <w:p>
      <w:pPr>
        <w:pStyle w:val="Heading2"/>
      </w:pPr>
      <w:r>
        <w:t xml:space="preserve">3.3 Customer Service &amp; Support</w:t>
      </w:r>
    </w:p>
    <w:p>
      <w:pPr>
        <w:spacing w:after="120"/>
      </w:pPr>
      <w:r>
        <w:rPr>
          <w:rFonts w:ascii="Arial" w:cs="Arial" w:eastAsia="Arial" w:hAnsi="Arial"/>
          <w:sz w:val="22"/>
          <w:szCs w:val="22"/>
        </w:rPr>
        <w:t xml:space="preserve">The Customer Service module must deliver omnichannel support capabilities that enable GlobalTech's service teams to provide consistent, high-quality customer experiences across all regions and communication channels.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5560"/>
        <w:gridCol w:w="1400"/>
        <w:gridCol w:w="1000"/>
      </w:tblGrid>
      <w:tr>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Req ID</w:t>
            </w:r>
          </w:p>
        </w:tc>
        <w:tc>
          <w:tcPr>
            <w:tcW w:type="dxa" w:w="5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Priority</w:t>
            </w:r>
          </w:p>
        </w:tc>
        <w:tc>
          <w:tcPr>
            <w:tcW w:type="dxa" w:w="1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Weight</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REQ-CS-001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Omnichannel case management (email, phone, chat, social, web portal)</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REQ-CS-002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Case routing and assignment with skills-based matching</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REQ-CS-003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SLA management with escalation rules and breach alerts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REQ-CS-004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Knowledge base with article lifecycle management</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REQ-CS-005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Self-service customer portal with case tracking</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REQ-CS-006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Live chat with chatbot and AI-assisted responses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REQ-CS-007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Computer telephony integration (CTI) with screen pop</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REQ-CS-008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Customer satisfaction surveys (CSAT, NPS, CES) with automated triggers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REQ-CS-009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Field service management with scheduling and dispatch</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REQ-CS-010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Entitlement management and service contract tracking</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REQ-CS-011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Customer community forum with moderation tools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2</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REQ-CS-012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Service analytics with agent performance metrics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REQ-CS-013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Macro and quick-response templates for common issues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REQ-CS-014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Case merging and linking for related issues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REQ-CS-015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Warranty and return management</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REQ-CS-016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AI-powered case classification and sentiment analysis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REQ-CS-017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Multi-language support for knowledge base articles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REQ-CS-018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Customer journey mapping with touchpoint visibility</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REQ-CS-019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Proactive service alerts based on product telemetry data</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REQ-CS-020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Agent desktop with unified view of customer history</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REQ-CS-021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Internal collaboration tools for case resolution (swarming)</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REQ-CS-022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Automated ticket creation from email and social media</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REQ-CS-023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Customer health scoring based on interaction patterns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REQ-CS-024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Service level reporting with trend analysis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REQ-CS-025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Escalation management with multi-tier workflow support</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bl>
    <w:p>
      <w:pPr>
        <w:spacing w:after="60"/>
      </w:pPr>
    </w:p>
    <w:p>
      <w:pPr>
        <w:pStyle w:val="Heading2"/>
      </w:pPr>
      <w:r>
        <w:t xml:space="preserve">3.4 Analytics &amp; Reporting</w:t>
      </w:r>
    </w:p>
    <w:p>
      <w:pPr>
        <w:spacing w:after="120"/>
      </w:pPr>
      <w:r>
        <w:rPr>
          <w:rFonts w:ascii="Arial" w:cs="Arial" w:eastAsia="Arial" w:hAnsi="Arial"/>
          <w:sz w:val="22"/>
          <w:szCs w:val="22"/>
        </w:rPr>
        <w:t xml:space="preserve">The Analytics and Reporting module must provide comprehensive business intelligence capabilities that enable data-driven decision making across all levels of the organization.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5560"/>
        <w:gridCol w:w="1400"/>
        <w:gridCol w:w="1000"/>
      </w:tblGrid>
      <w:tr>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Req ID</w:t>
            </w:r>
          </w:p>
        </w:tc>
        <w:tc>
          <w:tcPr>
            <w:tcW w:type="dxa" w:w="5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Priority</w:t>
            </w:r>
          </w:p>
        </w:tc>
        <w:tc>
          <w:tcPr>
            <w:tcW w:type="dxa" w:w="1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Weight</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REQ-AR-001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Real-time configurable dashboards with drag-and-drop widgets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REQ-AR-002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Ad hoc report builder with cross-module data access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REQ-AR-003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Scheduled report distribution via email and portal</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REQ-AR-004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Executive summary dashboards with drill-down capabilities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REQ-AR-005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Predictive analytics with AI/ML-driven insights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REQ-AR-006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Data visualization library (charts, graphs, maps, heatmaps)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REQ-AR-007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Custom calculated fields and formula builder</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REQ-AR-008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Report export in multiple formats (PDF, Excel, CSV, PowerPoint)</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REQ-AR-009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Role-based report and dashboard access controls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REQ-AR-010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Historical trending and period-over-period comparison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REQ-AR-011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Embedded analytics for external stakeholders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REQ-AR-012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Natural language query interface for business users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REQ-AR-013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Data warehouse integration for advanced analytics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REQ-AR-014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Real-time data refresh with configurable sync intervals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REQ-AR-015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Geographic data visualization with mapping capabilities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REQ-AR-016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Anomaly detection and automated alerting</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REQ-AR-017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Customer lifetime value (CLV) analytics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REQ-AR-018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Sales funnel and conversion rate analysis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REQ-AR-019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Marketing attribution reporting across channels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REQ-AR-020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Service quality and customer satisfaction analytics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bl>
    <w:p>
      <w:pPr>
        <w:spacing w:after="60"/>
      </w:pPr>
    </w:p>
    <w:p>
      <w:pPr>
        <w:pStyle w:val="Heading2"/>
      </w:pPr>
      <w:r>
        <w:t xml:space="preserve">3.5 Mobile Access</w:t>
      </w:r>
    </w:p>
    <w:p>
      <w:pPr>
        <w:spacing w:after="120"/>
      </w:pPr>
      <w:r>
        <w:rPr>
          <w:rFonts w:ascii="Arial" w:cs="Arial" w:eastAsia="Arial" w:hAnsi="Arial"/>
          <w:sz w:val="22"/>
          <w:szCs w:val="22"/>
        </w:rPr>
        <w:t xml:space="preserve">The Mobile Access module must provide full-featured mobile experiences for field sales representatives, service technicians, and executives who require CRM access outside of the office environment.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5560"/>
        <w:gridCol w:w="1400"/>
        <w:gridCol w:w="1000"/>
      </w:tblGrid>
      <w:tr>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Req ID</w:t>
            </w:r>
          </w:p>
        </w:tc>
        <w:tc>
          <w:tcPr>
            <w:tcW w:type="dxa" w:w="5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Priority</w:t>
            </w:r>
          </w:p>
        </w:tc>
        <w:tc>
          <w:tcPr>
            <w:tcW w:type="dxa" w:w="1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Weight</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REQ-MOB-001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Native iOS and Android mobile applications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REQ-MOB-002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Offline data access and synchronization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REQ-MOB-003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Mobile-optimized dashboards and reports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REQ-MOB-004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Push notifications for critical alerts and updates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REQ-MOB-005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Mobile barcode and business card scanning</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REQ-MOB-006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GPS and location-based features for field sales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REQ-MOB-007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Voice-to-text for notes and activity logging</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REQ-MOB-008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Mobile approval workflows for quotes and discounts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REQ-MOB-009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Biometric authentication (fingerprint, face recognition)</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REQ-MOB-010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Mobile device management (MDM) compatibility</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REQ-MOB-011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Responsive web interface for tablet access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REQ-MOB-012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Mobile-specific UI optimizations beyond responsive design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REQ-MOB-013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Camera integration for document capture and upload</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REQ-MOB-014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Mobile analytics on app usage and adoption metrics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2</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REQ-MOB-015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Cross-device session continuity</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Nice-to-Have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w:t>
            </w:r>
          </w:p>
        </w:tc>
      </w:tr>
    </w:tbl>
    <w:p>
      <w:pPr>
        <w:spacing w:after="60"/>
      </w:pPr>
    </w:p>
    <w:p>
      <w:pPr>
        <w:pStyle w:val="Heading2"/>
      </w:pPr>
      <w:r>
        <w:t xml:space="preserve">3.6 Non-Functional Requirements</w:t>
      </w:r>
    </w:p>
    <w:p>
      <w:pPr>
        <w:spacing w:after="120"/>
      </w:pPr>
      <w:r>
        <w:rPr>
          <w:rFonts w:ascii="Arial" w:cs="Arial" w:eastAsia="Arial" w:hAnsi="Arial"/>
          <w:sz w:val="22"/>
          <w:szCs w:val="22"/>
        </w:rPr>
        <w:t xml:space="preserve">The following non-functional requirements define the quality attributes, security standards, and operational parameters that the CRM platform must meet: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5560"/>
        <w:gridCol w:w="1400"/>
        <w:gridCol w:w="1000"/>
      </w:tblGrid>
      <w:tr>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Req ID</w:t>
            </w:r>
          </w:p>
        </w:tc>
        <w:tc>
          <w:tcPr>
            <w:tcW w:type="dxa" w:w="5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Priority</w:t>
            </w:r>
          </w:p>
        </w:tc>
        <w:tc>
          <w:tcPr>
            <w:tcW w:type="dxa" w:w="1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Weight</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REQ-NFR-001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System availability of 99.9% uptime (excluding planned maintenance)</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REQ-NFR-002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Page load time under 3 seconds for standard operations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REQ-NFR-003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Support for 4,200+ concurrent users during peak hours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REQ-NFR-004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Horizontal scalability to accommodate 50% user growth over 5 years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REQ-NFR-005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Disaster recovery with RPO of 1 hour and RTO of 4 hours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REQ-NFR-006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Data encryption at rest (AES-256) and in transit (TLS 1.2+)</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REQ-NFR-007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Multi-factor authentication (MFA) with SSO via SAML 2.0 and OAuth 2.0</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REQ-NFR-008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Role-based access control (RBAC) with field-level security</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REQ-NFR-009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Comprehensive audit trail logging for all data changes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REQ-NFR-010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GDPR compliance with data residency options in EU, US, and APAC</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REQ-NFR-011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SOC 2 Type II certification</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REQ-NFR-012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ISO 27001 certification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REQ-NFR-013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API rate limiting and throttling controls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REQ-NFR-014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Browser support for Chrome, Firefox, Edge, and Safari (latest 2 versions)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REQ-NFR-015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Accessibility compliance with WCAG 2.1 Level AA</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REQ-NFR-016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Multi-tenant architecture with logical data isolation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REQ-NFR-017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Automated backup with point-in-time recovery capabilities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REQ-NFR-018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Support for data volumes of 50M+ records with sub-second query response</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REQ-NFR-019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IP whitelisting and network access controls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REQ-NFR-020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Penetration testing results available upon request under NDA</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bl>
    <w:p>
      <w:pPr>
        <w:spacing w:after="60"/>
      </w:pPr>
    </w:p>
    <w:p>
      <w:pPr>
        <w:pStyle w:val="Heading2"/>
      </w:pPr>
      <w:r>
        <w:t xml:space="preserve">3.7 Integration &amp; API Requirements</w:t>
      </w:r>
    </w:p>
    <w:p>
      <w:pPr>
        <w:spacing w:after="120"/>
      </w:pPr>
      <w:r>
        <w:rPr>
          <w:rFonts w:ascii="Arial" w:cs="Arial" w:eastAsia="Arial" w:hAnsi="Arial"/>
          <w:sz w:val="22"/>
          <w:szCs w:val="22"/>
        </w:rPr>
        <w:t xml:space="preserve">The following requirements specify the integration capabilities and API standards that the CRM platform must support to ensure seamless connectivity with GlobalTech's enterprise ecosystem: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5560"/>
        <w:gridCol w:w="1400"/>
        <w:gridCol w:w="1000"/>
      </w:tblGrid>
      <w:tr>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Req ID</w:t>
            </w:r>
          </w:p>
        </w:tc>
        <w:tc>
          <w:tcPr>
            <w:tcW w:type="dxa" w:w="5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Priority</w:t>
            </w:r>
          </w:p>
        </w:tc>
        <w:tc>
          <w:tcPr>
            <w:tcW w:type="dxa" w:w="1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Weight</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REQ-INT-001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Bi-directional integration with SAP S/4HANA ERP (accounts, orders, invoices)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REQ-INT-002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Real-time product and pricing sync from SAP ERP</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REQ-INT-003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Integration with Marketo marketing automation platform</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REQ-INT-004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E-commerce platform integration (Shopify Plus, Magento)</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REQ-INT-005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RESTful API with comprehensive documentation and sandbox</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REQ-INT-006</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Webhook support for event-driven integrations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REQ-INT-007</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Pre-built connectors for Microsoft 365 suite</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REQ-INT-008</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Integration middleware support (MuleSoft, Dell Boomi)</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REQ-INT-009</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Single Sign-On via Azure Active Directory</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5</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REQ-INT-010</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Data warehouse integration (Snowflake, Azure Synapse)</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REQ-INT-011</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Telephony integration with Genesys Cloud contact center</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REQ-INT-012</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Document management integration (SharePoint, Box)</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REQ-INT-013</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Business intelligence tool integration (Power BI, Tableau)</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REQ-INT-014</w:t>
            </w:r>
          </w:p>
        </w:tc>
        <w:tc>
          <w:tcPr>
            <w:tcW w:type="dxa" w:w="5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Custom API endpoint creation for bespoke integrations</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4</w:t>
            </w:r>
          </w:p>
        </w:tc>
      </w:tr>
      <w:tr>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REQ-INT-015</w:t>
            </w:r>
          </w:p>
        </w:tc>
        <w:tc>
          <w:tcPr>
            <w:tcW w:type="dxa" w:w="5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Bulk data API for large-volume data operations</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Must-Have</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w:t>
            </w:r>
          </w:p>
        </w:tc>
      </w:tr>
    </w:tbl>
    <w:p>
      <w:pPr>
        <w:spacing w:after="60"/>
      </w:pPr>
    </w:p>
    <w:p>
      <w:pPr>
        <w:pStyle w:val="Heading2"/>
      </w:pPr>
      <w:r>
        <w:t xml:space="preserve">3.8 Data Migration Requirements</w:t>
      </w:r>
    </w:p>
    <w:p>
      <w:pPr>
        <w:spacing w:after="120"/>
      </w:pPr>
      <w:r>
        <w:rPr>
          <w:rFonts w:ascii="Arial" w:cs="Arial" w:eastAsia="Arial" w:hAnsi="Arial"/>
          <w:sz w:val="22"/>
          <w:szCs w:val="22"/>
        </w:rPr>
        <w:t xml:space="preserve">The selected vendor must provide a comprehensive data migration strategy and execution plan for consolidating data from GlobalTech's existing CRM systems into the new unified platform. The migration scope includes:</w:t>
      </w:r>
    </w:p>
    <w:p>
      <w:pPr>
        <w:spacing w:after="120"/>
      </w:pPr>
      <w:r>
        <w:rPr>
          <w:rFonts w:ascii="Arial" w:cs="Arial" w:eastAsia="Arial" w:hAnsi="Arial"/>
          <w:b/>
          <w:bCs/>
          <w:sz w:val="22"/>
          <w:szCs w:val="22"/>
        </w:rPr>
        <w:t xml:space="preserve">Salesforce Sales Cloud (North America): </w:t>
      </w:r>
      <w:r>
        <w:rPr>
          <w:rFonts w:ascii="Arial" w:cs="Arial" w:eastAsia="Arial" w:hAnsi="Arial"/>
          <w:sz w:val="22"/>
          <w:szCs w:val="22"/>
        </w:rPr>
        <w:t xml:space="preserve">Approximately 2.8 million contact records, 450,000 account records, 1.2 million opportunity records, 15 million activity records, and 340 custom objects with associated data.</w:t>
      </w:r>
    </w:p>
    <w:p>
      <w:pPr>
        <w:spacing w:after="120"/>
      </w:pPr>
      <w:r>
        <w:rPr>
          <w:rFonts w:ascii="Arial" w:cs="Arial" w:eastAsia="Arial" w:hAnsi="Arial"/>
          <w:b/>
          <w:bCs/>
          <w:sz w:val="22"/>
          <w:szCs w:val="22"/>
        </w:rPr>
        <w:t xml:space="preserve">Microsoft Dynamics 365 (EMEA): </w:t>
      </w:r>
      <w:r>
        <w:rPr>
          <w:rFonts w:ascii="Arial" w:cs="Arial" w:eastAsia="Arial" w:hAnsi="Arial"/>
          <w:sz w:val="22"/>
          <w:szCs w:val="22"/>
        </w:rPr>
        <w:t xml:space="preserve">Approximately 1.1 million contact records, 180,000 account records, 520,000 opportunity records, and 8 million activity records.</w:t>
      </w:r>
    </w:p>
    <w:p>
      <w:pPr>
        <w:spacing w:after="120"/>
      </w:pPr>
      <w:r>
        <w:rPr>
          <w:rFonts w:ascii="Arial" w:cs="Arial" w:eastAsia="Arial" w:hAnsi="Arial"/>
          <w:b/>
          <w:bCs/>
          <w:sz w:val="22"/>
          <w:szCs w:val="22"/>
        </w:rPr>
        <w:t xml:space="preserve">Legacy Oracle Systems (APAC): </w:t>
      </w:r>
      <w:r>
        <w:rPr>
          <w:rFonts w:ascii="Arial" w:cs="Arial" w:eastAsia="Arial" w:hAnsi="Arial"/>
          <w:sz w:val="22"/>
          <w:szCs w:val="22"/>
        </w:rPr>
        <w:t xml:space="preserve">Approximately 800,000 contact records, 95,000 account records, and 280,000 opportunity records. Data quality is estimated at 65% based on preliminary assessments.</w:t>
      </w:r>
    </w:p>
    <w:p>
      <w:pPr>
        <w:spacing w:after="120"/>
      </w:pPr>
      <w:r>
        <w:rPr>
          <w:rFonts w:ascii="Arial" w:cs="Arial" w:eastAsia="Arial" w:hAnsi="Arial"/>
          <w:b/>
          <w:bCs/>
          <w:sz w:val="22"/>
          <w:szCs w:val="22"/>
        </w:rPr>
        <w:t xml:space="preserve">Spreadsheet Data (LATAM/Emerging): </w:t>
      </w:r>
      <w:r>
        <w:rPr>
          <w:rFonts w:ascii="Arial" w:cs="Arial" w:eastAsia="Arial" w:hAnsi="Arial"/>
          <w:sz w:val="22"/>
          <w:szCs w:val="22"/>
        </w:rPr>
        <w:t xml:space="preserve">Approximately 200,000 contact records and 45,000 account records stored across 2,300+ spreadsheet files. Significant data cleansing and normalization will be required.</w:t>
      </w:r>
    </w:p>
    <w:p>
      <w:pPr>
        <w:spacing w:after="120"/>
      </w:pPr>
      <w:r>
        <w:rPr>
          <w:rFonts w:ascii="Arial" w:cs="Arial" w:eastAsia="Arial" w:hAnsi="Arial"/>
          <w:sz w:val="22"/>
          <w:szCs w:val="22"/>
        </w:rPr>
        <w:t xml:space="preserve">The data migration approach must include data profiling, quality assessment, cleansing and enrichment, mapping and transformation, validation testing, and parallel run verification. Vendors should propose a phased migration approach aligned with the regional deployment timeline.</w:t>
      </w:r>
    </w:p>
    <w:p>
      <w:r>
        <w:br w:type="page"/>
      </w:r>
    </w:p>
    <w:p>
      <w:pPr>
        <w:pStyle w:val="Heading1"/>
      </w:pPr>
      <w:r>
        <w:t xml:space="preserve">4. Vendor Qualifications</w:t>
      </w:r>
    </w:p>
    <w:p>
      <w:pPr>
        <w:pStyle w:val="Heading2"/>
      </w:pPr>
      <w:r>
        <w:t xml:space="preserve">4.1 Company Requirements</w:t>
      </w:r>
    </w:p>
    <w:p>
      <w:pPr>
        <w:spacing w:after="120"/>
      </w:pPr>
      <w:r>
        <w:rPr>
          <w:rFonts w:ascii="Arial" w:cs="Arial" w:eastAsia="Arial" w:hAnsi="Arial"/>
          <w:sz w:val="22"/>
          <w:szCs w:val="22"/>
        </w:rPr>
        <w:t xml:space="preserve">To be considered for this engagement, responding vendors must meet the following minimum qualification criteria:</w:t>
      </w:r>
    </w:p>
    <w:p>
      <w:pPr>
        <w:spacing w:after="120"/>
      </w:pPr>
      <w:r>
        <w:rPr>
          <w:rFonts w:ascii="Arial" w:cs="Arial" w:eastAsia="Arial" w:hAnsi="Arial"/>
          <w:b/>
          <w:bCs/>
          <w:sz w:val="22"/>
          <w:szCs w:val="22"/>
        </w:rPr>
        <w:t xml:space="preserve">Financial Stability: </w:t>
      </w:r>
      <w:r>
        <w:rPr>
          <w:rFonts w:ascii="Arial" w:cs="Arial" w:eastAsia="Arial" w:hAnsi="Arial"/>
          <w:sz w:val="22"/>
          <w:szCs w:val="22"/>
        </w:rPr>
        <w:t xml:space="preserve">Annual revenue of $500 million or greater, with demonstrated profitability in at least three of the past five fiscal years. Vendors must be willing to provide audited financial statements or equivalent financial documentation upon request.</w:t>
      </w:r>
    </w:p>
    <w:p>
      <w:pPr>
        <w:spacing w:after="120"/>
      </w:pPr>
      <w:r>
        <w:rPr>
          <w:rFonts w:ascii="Arial" w:cs="Arial" w:eastAsia="Arial" w:hAnsi="Arial"/>
          <w:b/>
          <w:bCs/>
          <w:sz w:val="22"/>
          <w:szCs w:val="22"/>
        </w:rPr>
        <w:t xml:space="preserve">Market Presence: </w:t>
      </w:r>
      <w:r>
        <w:rPr>
          <w:rFonts w:ascii="Arial" w:cs="Arial" w:eastAsia="Arial" w:hAnsi="Arial"/>
          <w:sz w:val="22"/>
          <w:szCs w:val="22"/>
        </w:rPr>
        <w:t xml:space="preserve">Minimum of 10 years in the CRM software market with recognition in major industry analyst reports (Gartner Magic Quadrant, Forrester Wave, IDC MarketScape) within the past two evaluation cycles.</w:t>
      </w:r>
    </w:p>
    <w:p>
      <w:pPr>
        <w:spacing w:after="120"/>
      </w:pPr>
      <w:r>
        <w:rPr>
          <w:rFonts w:ascii="Arial" w:cs="Arial" w:eastAsia="Arial" w:hAnsi="Arial"/>
          <w:b/>
          <w:bCs/>
          <w:sz w:val="22"/>
          <w:szCs w:val="22"/>
        </w:rPr>
        <w:t xml:space="preserve">Global Operations: </w:t>
      </w:r>
      <w:r>
        <w:rPr>
          <w:rFonts w:ascii="Arial" w:cs="Arial" w:eastAsia="Arial" w:hAnsi="Arial"/>
          <w:sz w:val="22"/>
          <w:szCs w:val="22"/>
        </w:rPr>
        <w:t xml:space="preserve">Direct operations or certified partner presence in at least 20 countries, with demonstrated capability to deliver implementations across North America, Europe, and Asia-Pacific regions simultaneously.</w:t>
      </w:r>
    </w:p>
    <w:p>
      <w:pPr>
        <w:spacing w:after="120"/>
      </w:pPr>
      <w:r>
        <w:rPr>
          <w:rFonts w:ascii="Arial" w:cs="Arial" w:eastAsia="Arial" w:hAnsi="Arial"/>
          <w:b/>
          <w:bCs/>
          <w:sz w:val="22"/>
          <w:szCs w:val="22"/>
        </w:rPr>
        <w:t xml:space="preserve">Customer Base: </w:t>
      </w:r>
      <w:r>
        <w:rPr>
          <w:rFonts w:ascii="Arial" w:cs="Arial" w:eastAsia="Arial" w:hAnsi="Arial"/>
          <w:sz w:val="22"/>
          <w:szCs w:val="22"/>
        </w:rPr>
        <w:t xml:space="preserve">A minimum of 500 enterprise customers (1,000+ CRM users each), including at least 25 customers in the manufacturing industry with comparable complexity.</w:t>
      </w:r>
    </w:p>
    <w:p>
      <w:pPr>
        <w:pStyle w:val="Heading2"/>
      </w:pPr>
      <w:r>
        <w:t xml:space="preserve">4.2 Reference Requirements</w:t>
      </w:r>
    </w:p>
    <w:p>
      <w:pPr>
        <w:spacing w:after="120"/>
      </w:pPr>
      <w:r>
        <w:rPr>
          <w:rFonts w:ascii="Arial" w:cs="Arial" w:eastAsia="Arial" w:hAnsi="Arial"/>
          <w:sz w:val="22"/>
          <w:szCs w:val="22"/>
        </w:rPr>
        <w:t xml:space="preserve">Vendors must provide a minimum of five (5) customer references that meet the following criteria:</w:t>
      </w:r>
    </w:p>
    <w:p>
      <w:pPr>
        <w:spacing w:after="120"/>
      </w:pPr>
      <w:r>
        <w:rPr>
          <w:rFonts w:ascii="Arial" w:cs="Arial" w:eastAsia="Arial" w:hAnsi="Arial"/>
          <w:b/>
          <w:bCs/>
          <w:sz w:val="22"/>
          <w:szCs w:val="22"/>
        </w:rPr>
        <w:t xml:space="preserve">Size Match: </w:t>
      </w:r>
      <w:r>
        <w:rPr>
          <w:rFonts w:ascii="Arial" w:cs="Arial" w:eastAsia="Arial" w:hAnsi="Arial"/>
          <w:sz w:val="22"/>
          <w:szCs w:val="22"/>
        </w:rPr>
        <w:t xml:space="preserve">At least three references with 3,000+ CRM users in production.</w:t>
      </w:r>
    </w:p>
    <w:p>
      <w:pPr>
        <w:spacing w:after="120"/>
      </w:pPr>
      <w:r>
        <w:rPr>
          <w:rFonts w:ascii="Arial" w:cs="Arial" w:eastAsia="Arial" w:hAnsi="Arial"/>
          <w:b/>
          <w:bCs/>
          <w:sz w:val="22"/>
          <w:szCs w:val="22"/>
        </w:rPr>
        <w:t xml:space="preserve">Industry Match: </w:t>
      </w:r>
      <w:r>
        <w:rPr>
          <w:rFonts w:ascii="Arial" w:cs="Arial" w:eastAsia="Arial" w:hAnsi="Arial"/>
          <w:sz w:val="22"/>
          <w:szCs w:val="22"/>
        </w:rPr>
        <w:t xml:space="preserve">At least two references in the manufacturing or industrial sector.</w:t>
      </w:r>
    </w:p>
    <w:p>
      <w:pPr>
        <w:spacing w:after="120"/>
      </w:pPr>
      <w:r>
        <w:rPr>
          <w:rFonts w:ascii="Arial" w:cs="Arial" w:eastAsia="Arial" w:hAnsi="Arial"/>
          <w:b/>
          <w:bCs/>
          <w:sz w:val="22"/>
          <w:szCs w:val="22"/>
        </w:rPr>
        <w:t xml:space="preserve">Geographic Match: </w:t>
      </w:r>
      <w:r>
        <w:rPr>
          <w:rFonts w:ascii="Arial" w:cs="Arial" w:eastAsia="Arial" w:hAnsi="Arial"/>
          <w:sz w:val="22"/>
          <w:szCs w:val="22"/>
        </w:rPr>
        <w:t xml:space="preserve">At least two references with multi-region deployments spanning three or more continents.</w:t>
      </w:r>
    </w:p>
    <w:p>
      <w:pPr>
        <w:spacing w:after="120"/>
      </w:pPr>
      <w:r>
        <w:rPr>
          <w:rFonts w:ascii="Arial" w:cs="Arial" w:eastAsia="Arial" w:hAnsi="Arial"/>
          <w:b/>
          <w:bCs/>
          <w:sz w:val="22"/>
          <w:szCs w:val="22"/>
        </w:rPr>
        <w:t xml:space="preserve">Recency: </w:t>
      </w:r>
      <w:r>
        <w:rPr>
          <w:rFonts w:ascii="Arial" w:cs="Arial" w:eastAsia="Arial" w:hAnsi="Arial"/>
          <w:sz w:val="22"/>
          <w:szCs w:val="22"/>
        </w:rPr>
        <w:t xml:space="preserve">All references must have completed their initial deployment within the past three years.</w:t>
      </w:r>
    </w:p>
    <w:p>
      <w:pPr>
        <w:spacing w:after="120"/>
      </w:pPr>
      <w:r>
        <w:rPr>
          <w:rFonts w:ascii="Arial" w:cs="Arial" w:eastAsia="Arial" w:hAnsi="Arial"/>
          <w:sz w:val="22"/>
          <w:szCs w:val="22"/>
        </w:rPr>
        <w:t xml:space="preserve">GlobalTech reserves the right to conduct independent reference checks and site visits to validate vendor claims and assess solution performance in comparable production environments.</w:t>
      </w:r>
    </w:p>
    <w:p>
      <w:pPr>
        <w:pStyle w:val="Heading2"/>
      </w:pPr>
      <w:r>
        <w:t xml:space="preserve">4.3 Implementation Partner Ecosystem</w:t>
      </w:r>
    </w:p>
    <w:p>
      <w:pPr>
        <w:spacing w:after="120"/>
      </w:pPr>
      <w:r>
        <w:rPr>
          <w:rFonts w:ascii="Arial" w:cs="Arial" w:eastAsia="Arial" w:hAnsi="Arial"/>
          <w:sz w:val="22"/>
          <w:szCs w:val="22"/>
        </w:rPr>
        <w:t xml:space="preserve">Vendors must describe their implementation partner ecosystem, including the number and geographic distribution of certified implementation partners, partner tier classifications and capabilities, partner training and certification requirements, and the recommended implementation partner(s) for this engagement with rationale. If the vendor proposes to utilize an implementation partner for this engagement, the partner firm must be identified in the proposal response, and the partner's qualifications should be documented to the same standard as the vendor's own qualifications.</w:t>
      </w:r>
    </w:p>
    <w:p>
      <w:pPr>
        <w:pStyle w:val="Heading2"/>
      </w:pPr>
      <w:r>
        <w:t xml:space="preserve">4.4 Required Certifications</w:t>
      </w:r>
    </w:p>
    <w:p>
      <w:pPr>
        <w:spacing w:after="120"/>
      </w:pPr>
      <w:r>
        <w:rPr>
          <w:rFonts w:ascii="Arial" w:cs="Arial" w:eastAsia="Arial" w:hAnsi="Arial"/>
          <w:sz w:val="22"/>
          <w:szCs w:val="22"/>
        </w:rPr>
        <w:t xml:space="preserve">The vendor and/or its platform must hold the following certifications: SOC 2 Type II (current within 12 months), ISO 27001 Information Security Management, ISO 27017 Cloud Security, ISO 27018 PII Protection in Public Clouds, CSA STAR Certification (Level 2 preferred), and FedRAMP Authorization (preferred, not mandatory). Copies of current certifications must be included as appendices to the proposal response.</w:t>
      </w:r>
    </w:p>
    <w:p>
      <w:r>
        <w:br w:type="page"/>
      </w:r>
    </w:p>
    <w:p>
      <w:pPr>
        <w:pStyle w:val="Heading1"/>
      </w:pPr>
      <w:r>
        <w:t xml:space="preserve">5. Implementation Approach</w:t>
      </w:r>
    </w:p>
    <w:p>
      <w:pPr>
        <w:pStyle w:val="Heading2"/>
      </w:pPr>
      <w:r>
        <w:t xml:space="preserve">5.1 Methodology</w:t>
      </w:r>
    </w:p>
    <w:p>
      <w:pPr>
        <w:spacing w:after="120"/>
      </w:pPr>
      <w:r>
        <w:rPr>
          <w:rFonts w:ascii="Arial" w:cs="Arial" w:eastAsia="Arial" w:hAnsi="Arial"/>
          <w:sz w:val="22"/>
          <w:szCs w:val="22"/>
        </w:rPr>
        <w:t xml:space="preserve">GlobalTech prefers an Agile-hybrid implementation methodology that combines iterative development sprints with structured program governance milestones. Vendors should describe their proposed methodology, including the sprint cadence and ceremony structure, how requirements will be refined and managed through an iterative approach, quality gates and stage-gate approval processes, risk management and issue escalation procedures, and how the methodology adapts for multi-region deployments with staggered timelines.</w:t>
      </w:r>
    </w:p>
    <w:p>
      <w:pPr>
        <w:pStyle w:val="Heading2"/>
      </w:pPr>
      <w:r>
        <w:t xml:space="preserve">5.2 Change Management &amp; Training</w:t>
      </w:r>
    </w:p>
    <w:p>
      <w:pPr>
        <w:spacing w:after="120"/>
      </w:pPr>
      <w:r>
        <w:rPr>
          <w:rFonts w:ascii="Arial" w:cs="Arial" w:eastAsia="Arial" w:hAnsi="Arial"/>
          <w:sz w:val="22"/>
          <w:szCs w:val="22"/>
        </w:rPr>
        <w:t xml:space="preserve">Successful CRM adoption is critical to realizing the projected business benefits. Vendors must propose a comprehensive change management and training program that addresses the following:</w:t>
      </w:r>
    </w:p>
    <w:p>
      <w:pPr>
        <w:spacing w:after="120"/>
      </w:pPr>
      <w:r>
        <w:rPr>
          <w:rFonts w:ascii="Arial" w:cs="Arial" w:eastAsia="Arial" w:hAnsi="Arial"/>
          <w:b/>
          <w:bCs/>
          <w:sz w:val="22"/>
          <w:szCs w:val="22"/>
        </w:rPr>
        <w:t xml:space="preserve">Organizational Change Management: </w:t>
      </w:r>
      <w:r>
        <w:rPr>
          <w:rFonts w:ascii="Arial" w:cs="Arial" w:eastAsia="Arial" w:hAnsi="Arial"/>
          <w:sz w:val="22"/>
          <w:szCs w:val="22"/>
        </w:rPr>
        <w:t xml:space="preserve">A structured approach to managing the people side of the transformation, including stakeholder engagement, communications planning, impact assessment, and resistance management across all 25 countries with cultural sensitivity.</w:t>
      </w:r>
    </w:p>
    <w:p>
      <w:pPr>
        <w:spacing w:after="120"/>
      </w:pPr>
      <w:r>
        <w:rPr>
          <w:rFonts w:ascii="Arial" w:cs="Arial" w:eastAsia="Arial" w:hAnsi="Arial"/>
          <w:b/>
          <w:bCs/>
          <w:sz w:val="22"/>
          <w:szCs w:val="22"/>
        </w:rPr>
        <w:t xml:space="preserve">Training Program: </w:t>
      </w:r>
      <w:r>
        <w:rPr>
          <w:rFonts w:ascii="Arial" w:cs="Arial" w:eastAsia="Arial" w:hAnsi="Arial"/>
          <w:sz w:val="22"/>
          <w:szCs w:val="22"/>
        </w:rPr>
        <w:t xml:space="preserve">A multi-modal training strategy covering instructor-led training (in-person and virtual), self-paced e-learning modules, role-based training tracks (sales, marketing, service, admin), training in all five primary languages, train-the-trainer programs for local champions, and ongoing training for new hires and feature releases.</w:t>
      </w:r>
    </w:p>
    <w:p>
      <w:pPr>
        <w:spacing w:after="120"/>
      </w:pPr>
      <w:r>
        <w:rPr>
          <w:rFonts w:ascii="Arial" w:cs="Arial" w:eastAsia="Arial" w:hAnsi="Arial"/>
          <w:b/>
          <w:bCs/>
          <w:sz w:val="22"/>
          <w:szCs w:val="22"/>
        </w:rPr>
        <w:t xml:space="preserve">Adoption Measurement: </w:t>
      </w:r>
      <w:r>
        <w:rPr>
          <w:rFonts w:ascii="Arial" w:cs="Arial" w:eastAsia="Arial" w:hAnsi="Arial"/>
          <w:sz w:val="22"/>
          <w:szCs w:val="22"/>
        </w:rPr>
        <w:t xml:space="preserve">Tools and methodologies for measuring and reporting on user adoption rates, feature utilization, and identifying areas requiring additional training or support intervention.</w:t>
      </w:r>
    </w:p>
    <w:p>
      <w:pPr>
        <w:pStyle w:val="Heading2"/>
      </w:pPr>
      <w:r>
        <w:t xml:space="preserve">5.3 Data Migration Strategy</w:t>
      </w:r>
    </w:p>
    <w:p>
      <w:pPr>
        <w:spacing w:after="120"/>
      </w:pPr>
      <w:r>
        <w:rPr>
          <w:rFonts w:ascii="Arial" w:cs="Arial" w:eastAsia="Arial" w:hAnsi="Arial"/>
          <w:sz w:val="22"/>
          <w:szCs w:val="22"/>
        </w:rPr>
        <w:t xml:space="preserve">Vendors must present a detailed data migration strategy and methodology covering the full lifecycle from assessment through validation. The strategy must address data profiling and quality assessment for each source system, data cleansing and enrichment recommendations, field mapping and transformation rules, deduplication strategy across multiple source systems, migration tooling and automation approach, validation and reconciliation methodology, fallback and rollback procedures, and parallel run requirements and duration.</w:t>
      </w:r>
    </w:p>
    <w:p>
      <w:pPr>
        <w:pStyle w:val="Heading2"/>
      </w:pPr>
      <w:r>
        <w:t xml:space="preserve">5.4 Testing Approach</w:t>
      </w:r>
    </w:p>
    <w:p>
      <w:pPr>
        <w:spacing w:after="120"/>
      </w:pPr>
      <w:r>
        <w:rPr>
          <w:rFonts w:ascii="Arial" w:cs="Arial" w:eastAsia="Arial" w:hAnsi="Arial"/>
          <w:sz w:val="22"/>
          <w:szCs w:val="22"/>
        </w:rPr>
        <w:t xml:space="preserve">The implementation plan must include a rigorous testing strategy encompassing the following test types: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3560"/>
        <w:gridCol w:w="2000"/>
        <w:gridCol w:w="1800"/>
      </w:tblGrid>
      <w:tr>
        <w:tc>
          <w:tcPr>
            <w:tcW w:type="dxa" w:w="2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Test Type</w:t>
            </w:r>
          </w:p>
        </w:tc>
        <w:tc>
          <w:tcPr>
            <w:tcW w:type="dxa" w:w="3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c>
          <w:tcPr>
            <w:tcW w:type="dxa" w:w="2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Responsible Party</w:t>
            </w:r>
          </w:p>
        </w:tc>
        <w:tc>
          <w:tcPr>
            <w:tcW w:type="dxa" w:w="18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Timing</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Unit Testing</w:t>
            </w:r>
          </w:p>
        </w:tc>
        <w:tc>
          <w:tcPr>
            <w:tcW w:type="dxa" w:w="3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Individual component verification</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Development team</w:t>
            </w:r>
          </w:p>
        </w:tc>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Continuous during build</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Integration Testing</w:t>
            </w:r>
          </w:p>
        </w:tc>
        <w:tc>
          <w:tcPr>
            <w:tcW w:type="dxa" w:w="3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API and data flow validation between CRM and integrated systems</w:t>
            </w:r>
          </w:p>
        </w:tc>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Development + QA team</w:t>
            </w:r>
          </w:p>
        </w:tc>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Weeks 1-3 of testing phase</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System Testing</w:t>
            </w:r>
          </w:p>
        </w:tc>
        <w:tc>
          <w:tcPr>
            <w:tcW w:type="dxa" w:w="3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End-to-end business process validation</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QA team</w:t>
            </w:r>
          </w:p>
        </w:tc>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Weeks 2-4 of testing phase</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User Acceptance Testing</w:t>
            </w:r>
          </w:p>
        </w:tc>
        <w:tc>
          <w:tcPr>
            <w:tcW w:type="dxa" w:w="3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Business stakeholder validation of all use cases</w:t>
            </w:r>
          </w:p>
        </w:tc>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Business users (50+ testers)</w:t>
            </w:r>
          </w:p>
        </w:tc>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Weeks 4-6 of testing phase</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Performance Testing</w:t>
            </w:r>
          </w:p>
        </w:tc>
        <w:tc>
          <w:tcPr>
            <w:tcW w:type="dxa" w:w="3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Load, stress, and endurance testing at 150% of projected peak</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Performance engineering</w:t>
            </w:r>
          </w:p>
        </w:tc>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Weeks 3-5 of testing phase</w:t>
            </w:r>
          </w:p>
        </w:tc>
      </w:tr>
      <w:tr>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Security Testing</w:t>
            </w:r>
          </w:p>
        </w:tc>
        <w:tc>
          <w:tcPr>
            <w:tcW w:type="dxa" w:w="3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Penetration testing, vulnerability scanning, OWASP compliance</w:t>
            </w:r>
          </w:p>
        </w:tc>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Security team + third-party</w:t>
            </w:r>
          </w:p>
        </w:tc>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Weeks 4-6 of testing phase</w:t>
            </w:r>
          </w:p>
        </w:tc>
      </w:tr>
      <w:tr>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Regression Testing</w:t>
            </w:r>
          </w:p>
        </w:tc>
        <w:tc>
          <w:tcPr>
            <w:tcW w:type="dxa" w:w="3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Automated regression suite for ongoing change validation</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QA team</w:t>
            </w:r>
          </w:p>
        </w:tc>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Continuous post-deployment</w:t>
            </w:r>
          </w:p>
        </w:tc>
      </w:tr>
    </w:tbl>
    <w:p>
      <w:pPr>
        <w:spacing w:after="60"/>
      </w:pPr>
    </w:p>
    <w:p>
      <w:pPr>
        <w:pStyle w:val="Heading2"/>
      </w:pPr>
      <w:r>
        <w:t xml:space="preserve">5.5 Go-Live Strategy</w:t>
      </w:r>
    </w:p>
    <w:p>
      <w:pPr>
        <w:spacing w:after="120"/>
      </w:pPr>
      <w:r>
        <w:rPr>
          <w:rFonts w:ascii="Arial" w:cs="Arial" w:eastAsia="Arial" w:hAnsi="Arial"/>
          <w:sz w:val="22"/>
          <w:szCs w:val="22"/>
        </w:rPr>
        <w:t xml:space="preserve">GlobalTech's preferred approach is a phased regional deployment, as outlined in the project timeline (Section 1.4). Vendors should describe their recommended go-live strategy, including specific go/no-go decision criteria for each regional deployment, cutover planning and execution approach, hypercare support model for the initial 30/60/90 days post-go-live in each region, rollback procedures and contingency planning, and approach to managing the transition period when multiple systems are running concurrently.</w:t>
      </w:r>
    </w:p>
    <w:p>
      <w:r>
        <w:br w:type="page"/>
      </w:r>
    </w:p>
    <w:p>
      <w:pPr>
        <w:pStyle w:val="Heading1"/>
      </w:pPr>
      <w:r>
        <w:t xml:space="preserve">6. Support &amp; Maintenance</w:t>
      </w:r>
    </w:p>
    <w:p>
      <w:pPr>
        <w:pStyle w:val="Heading2"/>
      </w:pPr>
      <w:r>
        <w:t xml:space="preserve">6.1 Service Level Agreements</w:t>
      </w:r>
    </w:p>
    <w:p>
      <w:pPr>
        <w:spacing w:after="120"/>
      </w:pPr>
      <w:r>
        <w:rPr>
          <w:rFonts w:ascii="Arial" w:cs="Arial" w:eastAsia="Arial" w:hAnsi="Arial"/>
          <w:sz w:val="22"/>
          <w:szCs w:val="22"/>
        </w:rPr>
        <w:t xml:space="preserve">The selected vendor must commit to the following Service Level Agreement (SLA) targets: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4160"/>
        <w:gridCol w:w="3000"/>
      </w:tblGrid>
      <w:tr>
        <w:tc>
          <w:tcPr>
            <w:tcW w:type="dxa" w:w="22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SLA Category</w:t>
            </w:r>
          </w:p>
        </w:tc>
        <w:tc>
          <w:tcPr>
            <w:tcW w:type="dxa" w:w="41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Target</w:t>
            </w:r>
          </w:p>
        </w:tc>
        <w:tc>
          <w:tcPr>
            <w:tcW w:type="dxa" w:w="3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Remediation/Penalty</w:t>
            </w:r>
          </w:p>
        </w:tc>
      </w:tr>
      <w:tr>
        <w:tc>
          <w:tcPr>
            <w:tcW w:type="dxa" w:w="2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System Availability</w:t>
            </w:r>
          </w:p>
        </w:tc>
        <w:tc>
          <w:tcPr>
            <w:tcW w:type="dxa" w:w="41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99.9% uptime (measured monthly, excluding planned maintenance)</w:t>
            </w:r>
          </w:p>
        </w:tc>
        <w:tc>
          <w:tcPr>
            <w:tcW w:type="dxa" w:w="3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Service credits: 5% of monthly fees per 0.1% below target</w:t>
            </w:r>
          </w:p>
        </w:tc>
      </w:tr>
      <w:tr>
        <w:tc>
          <w:tcPr>
            <w:tcW w:type="dxa" w:w="2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Planned Maintenance</w:t>
            </w:r>
          </w:p>
        </w:tc>
        <w:tc>
          <w:tcPr>
            <w:tcW w:type="dxa" w:w="41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Maximum 8 hours/month during off-peak hours with 72-hour notice</w:t>
            </w:r>
          </w:p>
        </w:tc>
        <w:tc>
          <w:tcPr>
            <w:tcW w:type="dxa" w:w="3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Emergency maintenance limited to 2 hours/month</w:t>
            </w:r>
          </w:p>
        </w:tc>
      </w:tr>
      <w:tr>
        <w:tc>
          <w:tcPr>
            <w:tcW w:type="dxa" w:w="2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Data Backup</w:t>
            </w:r>
          </w:p>
        </w:tc>
        <w:tc>
          <w:tcPr>
            <w:tcW w:type="dxa" w:w="41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Full daily backups with 90-day retention; transaction log backups every 15 minutes</w:t>
            </w:r>
          </w:p>
        </w:tc>
        <w:tc>
          <w:tcPr>
            <w:tcW w:type="dxa" w:w="3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Point-in-time recovery within 1-hour granularity</w:t>
            </w:r>
          </w:p>
        </w:tc>
      </w:tr>
      <w:tr>
        <w:tc>
          <w:tcPr>
            <w:tcW w:type="dxa" w:w="2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Disaster Recovery</w:t>
            </w:r>
          </w:p>
        </w:tc>
        <w:tc>
          <w:tcPr>
            <w:tcW w:type="dxa" w:w="41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RPO: 1 hour; RTO: 4 hours for critical systems</w:t>
            </w:r>
          </w:p>
        </w:tc>
        <w:tc>
          <w:tcPr>
            <w:tcW w:type="dxa" w:w="3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Annual DR test with documented results</w:t>
            </w:r>
          </w:p>
        </w:tc>
      </w:tr>
      <w:tr>
        <w:tc>
          <w:tcPr>
            <w:tcW w:type="dxa" w:w="2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Performance</w:t>
            </w:r>
          </w:p>
        </w:tc>
        <w:tc>
          <w:tcPr>
            <w:tcW w:type="dxa" w:w="41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95th percentile page load time under 3 seconds for standard operations</w:t>
            </w:r>
          </w:p>
        </w:tc>
        <w:tc>
          <w:tcPr>
            <w:tcW w:type="dxa" w:w="3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Monthly performance reporting with trend analysis</w:t>
            </w:r>
          </w:p>
        </w:tc>
      </w:tr>
    </w:tbl>
    <w:p>
      <w:pPr>
        <w:spacing w:after="60"/>
      </w:pPr>
    </w:p>
    <w:p>
      <w:pPr>
        <w:pStyle w:val="Heading2"/>
      </w:pPr>
      <w:r>
        <w:t xml:space="preserve">6.2 Support Tier Structure</w:t>
      </w:r>
    </w:p>
    <w:p>
      <w:pPr>
        <w:spacing w:after="120"/>
      </w:pPr>
      <w:r>
        <w:rPr>
          <w:rFonts w:ascii="Arial" w:cs="Arial" w:eastAsia="Arial" w:hAnsi="Arial"/>
          <w:sz w:val="22"/>
          <w:szCs w:val="22"/>
        </w:rPr>
        <w:t xml:space="preserve">The vendor must provide a multi-tiered support structure: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800"/>
        <w:gridCol w:w="1560"/>
        <w:gridCol w:w="1400"/>
        <w:gridCol w:w="1800"/>
      </w:tblGrid>
      <w:tr>
        <w:tc>
          <w:tcPr>
            <w:tcW w:type="dxa" w:w="18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Support Tier</w:t>
            </w:r>
          </w:p>
        </w:tc>
        <w:tc>
          <w:tcPr>
            <w:tcW w:type="dxa" w:w="28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Scope</w:t>
            </w:r>
          </w:p>
        </w:tc>
        <w:tc>
          <w:tcPr>
            <w:tcW w:type="dxa" w:w="1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Availability</w:t>
            </w:r>
          </w:p>
        </w:tc>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Response Time</w:t>
            </w:r>
          </w:p>
        </w:tc>
        <w:tc>
          <w:tcPr>
            <w:tcW w:type="dxa" w:w="18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Resolution Target</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L1 - Basic Support</w:t>
            </w:r>
          </w:p>
        </w:tc>
        <w:tc>
          <w:tcPr>
            <w:tcW w:type="dxa" w:w="2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Password resets, navigation questions, known issue workarounds</w:t>
            </w:r>
          </w:p>
        </w:tc>
        <w:tc>
          <w:tcPr>
            <w:tcW w:type="dxa" w:w="1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24/7</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&lt; 30 minutes</w:t>
            </w:r>
          </w:p>
        </w:tc>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&lt; 4 hours</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L2 - Technical Support</w:t>
            </w:r>
          </w:p>
        </w:tc>
        <w:tc>
          <w:tcPr>
            <w:tcW w:type="dxa" w:w="2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Configuration issues, integration errors, data discrepancies</w:t>
            </w:r>
          </w:p>
        </w:tc>
        <w:tc>
          <w:tcPr>
            <w:tcW w:type="dxa" w:w="1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Business Hours (Follow-the-Sun)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&lt; 2 hours</w:t>
            </w:r>
          </w:p>
        </w:tc>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&lt; 8 business hours</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L3 - Engineering Support</w:t>
            </w:r>
          </w:p>
        </w:tc>
        <w:tc>
          <w:tcPr>
            <w:tcW w:type="dxa" w:w="2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Platform defects, performance degradation, security incidents</w:t>
            </w:r>
          </w:p>
        </w:tc>
        <w:tc>
          <w:tcPr>
            <w:tcW w:type="dxa" w:w="1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On-call 24/7</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&lt; 1 hour</w:t>
            </w:r>
          </w:p>
        </w:tc>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&lt; 24 hours (critical), &lt; 5 days (high)</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L4 - Critical Escalation</w:t>
            </w:r>
          </w:p>
        </w:tc>
        <w:tc>
          <w:tcPr>
            <w:tcW w:type="dxa" w:w="2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System outages, data loss, security breaches</w:t>
            </w:r>
          </w:p>
        </w:tc>
        <w:tc>
          <w:tcPr>
            <w:tcW w:type="dxa" w:w="1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24/7 War Room</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&lt; 15 minutes</w:t>
            </w:r>
          </w:p>
        </w:tc>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Continuous until resolved</w:t>
            </w:r>
          </w:p>
        </w:tc>
      </w:tr>
    </w:tbl>
    <w:p>
      <w:pPr>
        <w:spacing w:after="60"/>
      </w:pPr>
    </w:p>
    <w:p>
      <w:pPr>
        <w:pStyle w:val="Heading2"/>
      </w:pPr>
      <w:r>
        <w:t xml:space="preserve">6.3 Ongoing Maintenance &amp; Enhancement</w:t>
      </w:r>
    </w:p>
    <w:p>
      <w:pPr>
        <w:spacing w:after="120"/>
      </w:pPr>
      <w:r>
        <w:rPr>
          <w:rFonts w:ascii="Arial" w:cs="Arial" w:eastAsia="Arial" w:hAnsi="Arial"/>
          <w:sz w:val="22"/>
          <w:szCs w:val="22"/>
        </w:rPr>
        <w:t xml:space="preserve">The vendor must describe their approach to the following: platform update cadence (major releases, minor releases, patches) and how updates are communicated, tested, and deployed; customer influence on the product roadmap through advisory boards, feature voting, or similar mechanisms; custom development maintenance and how customizations are preserved through platform upgrades; dedicated customer success management with a named Customer Success Manager for the GlobalTech account; and quarterly business reviews with executive-level engagement from the vendor's leadership team.</w:t>
      </w:r>
    </w:p>
    <w:p>
      <w:r>
        <w:br w:type="page"/>
      </w:r>
    </w:p>
    <w:p>
      <w:pPr>
        <w:pStyle w:val="Heading1"/>
      </w:pPr>
      <w:r>
        <w:t xml:space="preserve">7. Pricing Structure</w:t>
      </w:r>
    </w:p>
    <w:p>
      <w:pPr>
        <w:pStyle w:val="Heading2"/>
      </w:pPr>
      <w:r>
        <w:t xml:space="preserve">7.1 Pricing Breakdown</w:t>
      </w:r>
    </w:p>
    <w:p>
      <w:pPr>
        <w:spacing w:after="120"/>
      </w:pPr>
      <w:r>
        <w:rPr>
          <w:rFonts w:ascii="Arial" w:cs="Arial" w:eastAsia="Arial" w:hAnsi="Arial"/>
          <w:sz w:val="22"/>
          <w:szCs w:val="22"/>
        </w:rPr>
        <w:t xml:space="preserve">Vendors must provide detailed pricing using the structure outlined below. All prices must be in United States Dollars (USD) and inclusive of any applicable taxes or duties.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760"/>
        <w:gridCol w:w="1000"/>
        <w:gridCol w:w="800"/>
        <w:gridCol w:w="1400"/>
        <w:gridCol w:w="1600"/>
      </w:tblGrid>
      <w:tr>
        <w:tc>
          <w:tcPr>
            <w:tcW w:type="dxa" w:w="18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Cost Category</w:t>
            </w:r>
          </w:p>
        </w:tc>
        <w:tc>
          <w:tcPr>
            <w:tcW w:type="dxa" w:w="27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c>
          <w:tcPr>
            <w:tcW w:type="dxa" w:w="1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Unit</w:t>
            </w:r>
          </w:p>
        </w:tc>
        <w:tc>
          <w:tcPr>
            <w:tcW w:type="dxa" w:w="8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Qty</w:t>
            </w:r>
          </w:p>
        </w:tc>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Unit Price</w:t>
            </w:r>
          </w:p>
        </w:tc>
        <w:tc>
          <w:tcPr>
            <w:tcW w:type="dxa" w:w="16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Total</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Sales User License</w:t>
            </w:r>
          </w:p>
        </w:tc>
        <w:tc>
          <w:tcPr>
            <w:tcW w:type="dxa" w:w="2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Full CRM access for sales users</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Per user/year</w:t>
            </w:r>
          </w:p>
        </w:tc>
        <w:tc>
          <w:tcPr>
            <w:tcW w:type="dxa" w:w="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3,500</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Marketing User License</w:t>
            </w:r>
          </w:p>
        </w:tc>
        <w:tc>
          <w:tcPr>
            <w:tcW w:type="dxa" w:w="2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Marketing automation access</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Per user/year</w:t>
            </w:r>
          </w:p>
        </w:tc>
        <w:tc>
          <w:tcPr>
            <w:tcW w:type="dxa" w:w="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500</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Service User License</w:t>
            </w:r>
          </w:p>
        </w:tc>
        <w:tc>
          <w:tcPr>
            <w:tcW w:type="dxa" w:w="2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Customer service access</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Per user/year</w:t>
            </w:r>
          </w:p>
        </w:tc>
        <w:tc>
          <w:tcPr>
            <w:tcW w:type="dxa" w:w="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200</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Executive License</w:t>
            </w:r>
          </w:p>
        </w:tc>
        <w:tc>
          <w:tcPr>
            <w:tcW w:type="dxa" w:w="2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Read-only/dashboard access</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Per user/year</w:t>
            </w:r>
          </w:p>
        </w:tc>
        <w:tc>
          <w:tcPr>
            <w:tcW w:type="dxa" w:w="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150</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Admin License</w:t>
            </w:r>
          </w:p>
        </w:tc>
        <w:tc>
          <w:tcPr>
            <w:tcW w:type="dxa" w:w="2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System administration access</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Per user/year</w:t>
            </w:r>
          </w:p>
        </w:tc>
        <w:tc>
          <w:tcPr>
            <w:tcW w:type="dxa" w:w="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25</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API/Integration License</w:t>
            </w:r>
          </w:p>
        </w:tc>
        <w:tc>
          <w:tcPr>
            <w:tcW w:type="dxa" w:w="2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System integration access</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Per user/year</w:t>
            </w:r>
          </w:p>
        </w:tc>
        <w:tc>
          <w:tcPr>
            <w:tcW w:type="dxa" w:w="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20</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Implementation Services</w:t>
            </w:r>
          </w:p>
        </w:tc>
        <w:tc>
          <w:tcPr>
            <w:tcW w:type="dxa" w:w="2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Configuration, customization, deployment</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Fixed fee</w:t>
            </w:r>
          </w:p>
        </w:tc>
        <w:tc>
          <w:tcPr>
            <w:tcW w:type="dxa" w:w="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1</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Data Migration</w:t>
            </w:r>
          </w:p>
        </w:tc>
        <w:tc>
          <w:tcPr>
            <w:tcW w:type="dxa" w:w="2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Data profiling, cleansing, migration, validation</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Fixed fee</w:t>
            </w:r>
          </w:p>
        </w:tc>
        <w:tc>
          <w:tcPr>
            <w:tcW w:type="dxa" w:w="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1</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Integration Development</w:t>
            </w:r>
          </w:p>
        </w:tc>
        <w:tc>
          <w:tcPr>
            <w:tcW w:type="dxa" w:w="2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API development for 10 integration points</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Fixed fee</w:t>
            </w:r>
          </w:p>
        </w:tc>
        <w:tc>
          <w:tcPr>
            <w:tcW w:type="dxa" w:w="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1</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Training Program</w:t>
            </w:r>
          </w:p>
        </w:tc>
        <w:tc>
          <w:tcPr>
            <w:tcW w:type="dxa" w:w="2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Multi-modal training across 5 languages</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Fixed fee</w:t>
            </w:r>
          </w:p>
        </w:tc>
        <w:tc>
          <w:tcPr>
            <w:tcW w:type="dxa" w:w="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1</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Change Management</w:t>
            </w:r>
          </w:p>
        </w:tc>
        <w:tc>
          <w:tcPr>
            <w:tcW w:type="dxa" w:w="2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OCM program across 25 countries</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Fixed fee</w:t>
            </w:r>
          </w:p>
        </w:tc>
        <w:tc>
          <w:tcPr>
            <w:tcW w:type="dxa" w:w="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1</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Annual Support</w:t>
            </w:r>
          </w:p>
        </w:tc>
        <w:tc>
          <w:tcPr>
            <w:tcW w:type="dxa" w:w="2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Premium support per SLA requirements</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Per year</w:t>
            </w:r>
          </w:p>
        </w:tc>
        <w:tc>
          <w:tcPr>
            <w:tcW w:type="dxa" w:w="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1</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Environment Costs</w:t>
            </w:r>
          </w:p>
        </w:tc>
        <w:tc>
          <w:tcPr>
            <w:tcW w:type="dxa" w:w="2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Sandbox, staging, DR environments</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Per year</w:t>
            </w:r>
          </w:p>
        </w:tc>
        <w:tc>
          <w:tcPr>
            <w:tcW w:type="dxa" w:w="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1</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bl>
    <w:p>
      <w:pPr>
        <w:spacing w:after="60"/>
      </w:pPr>
    </w:p>
    <w:p>
      <w:pPr>
        <w:pStyle w:val="Heading2"/>
      </w:pPr>
      <w:r>
        <w:t xml:space="preserve">7.2 Payment Terms</w:t>
      </w:r>
    </w:p>
    <w:p>
      <w:pPr>
        <w:spacing w:after="120"/>
      </w:pPr>
      <w:r>
        <w:rPr>
          <w:rFonts w:ascii="Arial" w:cs="Arial" w:eastAsia="Arial" w:hAnsi="Arial"/>
          <w:sz w:val="22"/>
          <w:szCs w:val="22"/>
        </w:rPr>
        <w:t xml:space="preserve">GlobalTech's standard payment terms for engagements of this nature are milestone-based, with payments tied to the achievement of defined deliverables and acceptance criteria: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400"/>
        <w:gridCol w:w="5360"/>
      </w:tblGrid>
      <w:tr>
        <w:tc>
          <w:tcPr>
            <w:tcW w:type="dxa" w:w="26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Milestone</w:t>
            </w:r>
          </w:p>
        </w:tc>
        <w:tc>
          <w:tcPr>
            <w:tcW w:type="dxa" w:w="14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Payment %</w:t>
            </w:r>
          </w:p>
        </w:tc>
        <w:tc>
          <w:tcPr>
            <w:tcW w:type="dxa" w:w="53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Acceptance Criteria</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Contract Signing</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10%</w:t>
            </w:r>
          </w:p>
        </w:tc>
        <w:tc>
          <w:tcPr>
            <w:tcW w:type="dxa" w:w="53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Execution of master agreement</w:t>
            </w:r>
          </w:p>
        </w:tc>
      </w:tr>
      <w:tr>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Design Phase Completion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15%</w:t>
            </w:r>
          </w:p>
        </w:tc>
        <w:tc>
          <w:tcPr>
            <w:tcW w:type="dxa" w:w="53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Approval of solution design document</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Build Phase - Midpoint</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20%</w:t>
            </w:r>
          </w:p>
        </w:tc>
        <w:tc>
          <w:tcPr>
            <w:tcW w:type="dxa" w:w="53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Completion of core configuration and 50% of customizations</w:t>
            </w:r>
          </w:p>
        </w:tc>
      </w:tr>
      <w:tr>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Build Phase - Completion</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15%</w:t>
            </w:r>
          </w:p>
        </w:tc>
        <w:tc>
          <w:tcPr>
            <w:tcW w:type="dxa" w:w="53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Completion of all build activities and integration testing</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UAT Completion</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15%</w:t>
            </w:r>
          </w:p>
        </w:tc>
        <w:tc>
          <w:tcPr>
            <w:tcW w:type="dxa" w:w="53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Successful completion of user acceptance testing</w:t>
            </w:r>
          </w:p>
        </w:tc>
      </w:tr>
      <w:tr>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Go-Live (Phase 1 - NA)</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10%</w:t>
            </w:r>
          </w:p>
        </w:tc>
        <w:tc>
          <w:tcPr>
            <w:tcW w:type="dxa" w:w="53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Successful North America production deployment</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Go-Live (Phase 2 - Global)</w:t>
            </w:r>
          </w:p>
        </w:tc>
        <w:tc>
          <w:tcPr>
            <w:tcW w:type="dxa" w:w="14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10%</w:t>
            </w:r>
          </w:p>
        </w:tc>
        <w:tc>
          <w:tcPr>
            <w:tcW w:type="dxa" w:w="53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Successful completion of all regional deployments</w:t>
            </w:r>
          </w:p>
        </w:tc>
      </w:tr>
      <w:tr>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Final Acceptance</w:t>
            </w:r>
          </w:p>
        </w:tc>
        <w:tc>
          <w:tcPr>
            <w:tcW w:type="dxa" w:w="14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w:t>
            </w:r>
          </w:p>
        </w:tc>
        <w:tc>
          <w:tcPr>
            <w:tcW w:type="dxa" w:w="53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30-day post-go-live stability period with SLAs met</w:t>
            </w:r>
          </w:p>
        </w:tc>
      </w:tr>
    </w:tbl>
    <w:p>
      <w:pPr>
        <w:spacing w:after="60"/>
      </w:pPr>
    </w:p>
    <w:p>
      <w:pPr>
        <w:pStyle w:val="Heading2"/>
      </w:pPr>
      <w:r>
        <w:t xml:space="preserve">7.3 Total Cost of Ownership</w:t>
      </w:r>
    </w:p>
    <w:p>
      <w:pPr>
        <w:spacing w:after="120"/>
      </w:pPr>
      <w:r>
        <w:rPr>
          <w:rFonts w:ascii="Arial" w:cs="Arial" w:eastAsia="Arial" w:hAnsi="Arial"/>
          <w:sz w:val="22"/>
          <w:szCs w:val="22"/>
        </w:rPr>
        <w:t xml:space="preserve">Vendors must provide a five-year Total Cost of Ownership (TCO) projection using the following template: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1260"/>
        <w:gridCol w:w="1260"/>
        <w:gridCol w:w="1260"/>
        <w:gridCol w:w="1260"/>
        <w:gridCol w:w="1260"/>
        <w:gridCol w:w="1260"/>
      </w:tblGrid>
      <w:tr>
        <w:tc>
          <w:tcPr>
            <w:tcW w:type="dxa" w:w="18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Cost Category</w:t>
            </w:r>
          </w:p>
        </w:tc>
        <w:tc>
          <w:tcPr>
            <w:tcW w:type="dxa" w:w="12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Year 1</w:t>
            </w:r>
          </w:p>
        </w:tc>
        <w:tc>
          <w:tcPr>
            <w:tcW w:type="dxa" w:w="12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Year 2</w:t>
            </w:r>
          </w:p>
        </w:tc>
        <w:tc>
          <w:tcPr>
            <w:tcW w:type="dxa" w:w="12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Year 3</w:t>
            </w:r>
          </w:p>
        </w:tc>
        <w:tc>
          <w:tcPr>
            <w:tcW w:type="dxa" w:w="12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Year 4</w:t>
            </w:r>
          </w:p>
        </w:tc>
        <w:tc>
          <w:tcPr>
            <w:tcW w:type="dxa" w:w="12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Year 5</w:t>
            </w:r>
          </w:p>
        </w:tc>
        <w:tc>
          <w:tcPr>
            <w:tcW w:type="dxa" w:w="12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5-Year Total</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Software Licenses</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Implementation Services</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$0</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$0</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$0</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$0</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Data Migration</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$0</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$0</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$0</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$0</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Training</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Annual Support</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Environment Costs</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Estimated Internal Costs</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w:t>
            </w:r>
          </w:p>
        </w:tc>
      </w:tr>
      <w:tr>
        <w:tc>
          <w:tcPr>
            <w:tcW w:type="dxa" w:w="1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Total Annual Cost</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c>
          <w:tcPr>
            <w:tcW w:type="dxa" w:w="12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w:t>
            </w:r>
          </w:p>
        </w:tc>
      </w:tr>
    </w:tbl>
    <w:p>
      <w:pPr>
        <w:spacing w:after="60"/>
      </w:pPr>
    </w:p>
    <w:p>
      <w:r>
        <w:br w:type="page"/>
      </w:r>
    </w:p>
    <w:p>
      <w:pPr>
        <w:pStyle w:val="Heading1"/>
      </w:pPr>
      <w:r>
        <w:t xml:space="preserve">8. Proposal Submission Requirements</w:t>
      </w:r>
    </w:p>
    <w:p>
      <w:pPr>
        <w:pStyle w:val="Heading2"/>
      </w:pPr>
      <w:r>
        <w:t xml:space="preserve">8.1 Required Proposal Sections</w:t>
      </w:r>
    </w:p>
    <w:p>
      <w:pPr>
        <w:spacing w:after="120"/>
      </w:pPr>
      <w:r>
        <w:rPr>
          <w:rFonts w:ascii="Arial" w:cs="Arial" w:eastAsia="Arial" w:hAnsi="Arial"/>
          <w:sz w:val="22"/>
          <w:szCs w:val="22"/>
        </w:rPr>
        <w:t xml:space="preserve">Each proposal submission must include the following sections, organized and clearly labeled as specified: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2800"/>
        <w:gridCol w:w="1560"/>
        <w:gridCol w:w="3800"/>
      </w:tblGrid>
      <w:tr>
        <w:tc>
          <w:tcPr>
            <w:tcW w:type="dxa" w:w="12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Volume</w:t>
            </w:r>
          </w:p>
        </w:tc>
        <w:tc>
          <w:tcPr>
            <w:tcW w:type="dxa" w:w="28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Section Title</w:t>
            </w:r>
          </w:p>
        </w:tc>
        <w:tc>
          <w:tcPr>
            <w:tcW w:type="dxa" w:w="15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Page Limit</w:t>
            </w:r>
          </w:p>
        </w:tc>
        <w:tc>
          <w:tcPr>
            <w:tcW w:type="dxa" w:w="38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Contents</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Volume 1</w:t>
            </w:r>
          </w:p>
        </w:tc>
        <w:tc>
          <w:tcPr>
            <w:tcW w:type="dxa" w:w="2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Executive Summary &amp; Company Overview</w:t>
            </w:r>
          </w:p>
        </w:tc>
        <w:tc>
          <w:tcPr>
            <w:tcW w:type="dxa" w:w="1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30 pages max</w:t>
            </w:r>
          </w:p>
        </w:tc>
        <w:tc>
          <w:tcPr>
            <w:tcW w:type="dxa" w:w="3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Company background, solution summary, value proposition</w:t>
            </w:r>
          </w:p>
        </w:tc>
      </w:tr>
      <w:tr>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Volume 2</w:t>
            </w:r>
          </w:p>
        </w:tc>
        <w:tc>
          <w:tcPr>
            <w:tcW w:type="dxa" w:w="2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Technical Solution</w:t>
            </w:r>
          </w:p>
        </w:tc>
        <w:tc>
          <w:tcPr>
            <w:tcW w:type="dxa" w:w="1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75 pages max</w:t>
            </w:r>
          </w:p>
        </w:tc>
        <w:tc>
          <w:tcPr>
            <w:tcW w:type="dxa" w:w="3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Detailed technical response to all requirements in Section 3</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Volume 3</w:t>
            </w:r>
          </w:p>
        </w:tc>
        <w:tc>
          <w:tcPr>
            <w:tcW w:type="dxa" w:w="2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Implementation Approach</w:t>
            </w:r>
          </w:p>
        </w:tc>
        <w:tc>
          <w:tcPr>
            <w:tcW w:type="dxa" w:w="1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40 pages max</w:t>
            </w:r>
          </w:p>
        </w:tc>
        <w:tc>
          <w:tcPr>
            <w:tcW w:type="dxa" w:w="3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Methodology, project plan, staffing, change management</w:t>
            </w:r>
          </w:p>
        </w:tc>
      </w:tr>
      <w:tr>
        <w:tc>
          <w:tcPr>
            <w:tcW w:type="dxa" w:w="1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Volume 4</w:t>
            </w:r>
          </w:p>
        </w:tc>
        <w:tc>
          <w:tcPr>
            <w:tcW w:type="dxa" w:w="2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Pricing &amp; Commercial Terms</w:t>
            </w:r>
          </w:p>
        </w:tc>
        <w:tc>
          <w:tcPr>
            <w:tcW w:type="dxa" w:w="15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25 pages max</w:t>
            </w:r>
          </w:p>
        </w:tc>
        <w:tc>
          <w:tcPr>
            <w:tcW w:type="dxa" w:w="38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Pricing worksheets, payment terms, TCO analysis</w:t>
            </w:r>
          </w:p>
        </w:tc>
      </w:tr>
      <w:tr>
        <w:tc>
          <w:tcPr>
            <w:tcW w:type="dxa" w:w="1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Volume 5</w:t>
            </w:r>
          </w:p>
        </w:tc>
        <w:tc>
          <w:tcPr>
            <w:tcW w:type="dxa" w:w="2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Appendices</w:t>
            </w:r>
          </w:p>
        </w:tc>
        <w:tc>
          <w:tcPr>
            <w:tcW w:type="dxa" w:w="15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No limit</w:t>
            </w:r>
          </w:p>
        </w:tc>
        <w:tc>
          <w:tcPr>
            <w:tcW w:type="dxa" w:w="38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Certifications, references, SOW template, resumes</w:t>
            </w:r>
          </w:p>
        </w:tc>
      </w:tr>
    </w:tbl>
    <w:p>
      <w:pPr>
        <w:spacing w:after="60"/>
      </w:pPr>
    </w:p>
    <w:p>
      <w:pPr>
        <w:pStyle w:val="Heading2"/>
      </w:pPr>
      <w:r>
        <w:t xml:space="preserve">8.2 Evaluation Criteria</w:t>
      </w:r>
    </w:p>
    <w:p>
      <w:pPr>
        <w:spacing w:after="120"/>
      </w:pPr>
      <w:r>
        <w:rPr>
          <w:rFonts w:ascii="Arial" w:cs="Arial" w:eastAsia="Arial" w:hAnsi="Arial"/>
          <w:sz w:val="22"/>
          <w:szCs w:val="22"/>
        </w:rPr>
        <w:t xml:space="preserve">Proposals will be evaluated using a weighted scoring methodology across four primary dimensions: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000"/>
        <w:gridCol w:w="6160"/>
      </w:tblGrid>
      <w:tr>
        <w:tc>
          <w:tcPr>
            <w:tcW w:type="dxa" w:w="22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Evaluation Dimension</w:t>
            </w:r>
          </w:p>
        </w:tc>
        <w:tc>
          <w:tcPr>
            <w:tcW w:type="dxa" w:w="1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Weight</w:t>
            </w:r>
          </w:p>
        </w:tc>
        <w:tc>
          <w:tcPr>
            <w:tcW w:type="dxa" w:w="61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Assessment Criteria</w:t>
            </w:r>
          </w:p>
        </w:tc>
      </w:tr>
      <w:tr>
        <w:tc>
          <w:tcPr>
            <w:tcW w:type="dxa" w:w="2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Technical Solution</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40%</w:t>
            </w:r>
          </w:p>
        </w:tc>
        <w:tc>
          <w:tcPr>
            <w:tcW w:type="dxa" w:w="61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Alignment with functional and non-functional requirements, architecture, scalability, innovation</w:t>
            </w:r>
          </w:p>
        </w:tc>
      </w:tr>
      <w:tr>
        <w:tc>
          <w:tcPr>
            <w:tcW w:type="dxa" w:w="2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Cost &amp; Commercial Terms</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30%</w:t>
            </w:r>
          </w:p>
        </w:tc>
        <w:tc>
          <w:tcPr>
            <w:tcW w:type="dxa" w:w="61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Total Cost of Ownership, pricing competitiveness, commercial flexibility, payment terms</w:t>
            </w:r>
          </w:p>
        </w:tc>
      </w:tr>
      <w:tr>
        <w:tc>
          <w:tcPr>
            <w:tcW w:type="dxa" w:w="22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Implementation Approach</w:t>
            </w:r>
          </w:p>
        </w:tc>
        <w:tc>
          <w:tcPr>
            <w:tcW w:type="dxa" w:w="1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20%</w:t>
            </w:r>
          </w:p>
        </w:tc>
        <w:tc>
          <w:tcPr>
            <w:tcW w:type="dxa" w:w="61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Methodology, timeline realism, team qualifications, risk mitigation, change management</w:t>
            </w:r>
          </w:p>
        </w:tc>
      </w:tr>
      <w:tr>
        <w:tc>
          <w:tcPr>
            <w:tcW w:type="dxa" w:w="22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 Qualifications</w:t>
            </w:r>
          </w:p>
        </w:tc>
        <w:tc>
          <w:tcPr>
            <w:tcW w:type="dxa" w:w="1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10%</w:t>
            </w:r>
          </w:p>
        </w:tc>
        <w:tc>
          <w:tcPr>
            <w:tcW w:type="dxa" w:w="61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Company stability, market position, reference quality, partnership ecosystem</w:t>
            </w:r>
          </w:p>
        </w:tc>
      </w:tr>
    </w:tbl>
    <w:p>
      <w:pPr>
        <w:spacing w:after="60"/>
      </w:pPr>
    </w:p>
    <w:p>
      <w:pPr>
        <w:pStyle w:val="Heading2"/>
      </w:pPr>
      <w:r>
        <w:t xml:space="preserve">8.3 Submission Instructions</w:t>
      </w:r>
    </w:p>
    <w:p>
      <w:pPr>
        <w:spacing w:after="120"/>
      </w:pPr>
      <w:r>
        <w:rPr>
          <w:rFonts w:ascii="Arial" w:cs="Arial" w:eastAsia="Arial" w:hAnsi="Arial"/>
          <w:sz w:val="22"/>
          <w:szCs w:val="22"/>
        </w:rPr>
        <w:t xml:space="preserve">All proposal submissions must be received no later than May 15, 2026, at 5:00 PM Eastern Standard Time (EST). Late submissions will not be considered under any circumstances.</w:t>
      </w:r>
    </w:p>
    <w:p>
      <w:pPr>
        <w:spacing w:after="120"/>
      </w:pPr>
      <w:r>
        <w:rPr>
          <w:rFonts w:ascii="Arial" w:cs="Arial" w:eastAsia="Arial" w:hAnsi="Arial"/>
          <w:b/>
          <w:bCs/>
          <w:sz w:val="22"/>
          <w:szCs w:val="22"/>
        </w:rPr>
        <w:t xml:space="preserve">Format: </w:t>
      </w:r>
      <w:r>
        <w:rPr>
          <w:rFonts w:ascii="Arial" w:cs="Arial" w:eastAsia="Arial" w:hAnsi="Arial"/>
          <w:sz w:val="22"/>
          <w:szCs w:val="22"/>
        </w:rPr>
        <w:t xml:space="preserve">Submit proposals in both PDF and Microsoft Word (.docx) formats. All pricing worksheets must be provided in Microsoft Excel (.xlsx) format.</w:t>
      </w:r>
    </w:p>
    <w:p>
      <w:pPr>
        <w:spacing w:after="120"/>
      </w:pPr>
      <w:r>
        <w:rPr>
          <w:rFonts w:ascii="Arial" w:cs="Arial" w:eastAsia="Arial" w:hAnsi="Arial"/>
          <w:b/>
          <w:bCs/>
          <w:sz w:val="22"/>
          <w:szCs w:val="22"/>
        </w:rPr>
        <w:t xml:space="preserve">Delivery: </w:t>
      </w:r>
      <w:r>
        <w:rPr>
          <w:rFonts w:ascii="Arial" w:cs="Arial" w:eastAsia="Arial" w:hAnsi="Arial"/>
          <w:sz w:val="22"/>
          <w:szCs w:val="22"/>
        </w:rPr>
        <w:t xml:space="preserve">Electronic submissions via the GlobalTech Procurement Portal at https://procurement.globaltech.com/rfp/GTI-2026-CRM-001. Physical copies are not required.</w:t>
      </w:r>
    </w:p>
    <w:p>
      <w:pPr>
        <w:spacing w:after="120"/>
      </w:pPr>
      <w:r>
        <w:rPr>
          <w:rFonts w:ascii="Arial" w:cs="Arial" w:eastAsia="Arial" w:hAnsi="Arial"/>
          <w:b/>
          <w:bCs/>
          <w:sz w:val="22"/>
          <w:szCs w:val="22"/>
        </w:rPr>
        <w:t xml:space="preserve">Questions: </w:t>
      </w:r>
      <w:r>
        <w:rPr>
          <w:rFonts w:ascii="Arial" w:cs="Arial" w:eastAsia="Arial" w:hAnsi="Arial"/>
          <w:sz w:val="22"/>
          <w:szCs w:val="22"/>
        </w:rPr>
        <w:t xml:space="preserve">All questions regarding this RFP must be submitted in writing via the Procurement Portal by April 10, 2026. Responses to all questions will be published to all participating vendors by April 17, 2026.</w:t>
      </w:r>
    </w:p>
    <w:p>
      <w:pPr>
        <w:spacing w:after="120"/>
      </w:pPr>
      <w:r>
        <w:rPr>
          <w:rFonts w:ascii="Arial" w:cs="Arial" w:eastAsia="Arial" w:hAnsi="Arial"/>
          <w:b/>
          <w:bCs/>
          <w:sz w:val="22"/>
          <w:szCs w:val="22"/>
        </w:rPr>
        <w:t xml:space="preserve">Contact: </w:t>
      </w:r>
      <w:r>
        <w:rPr>
          <w:rFonts w:ascii="Arial" w:cs="Arial" w:eastAsia="Arial" w:hAnsi="Arial"/>
          <w:sz w:val="22"/>
          <w:szCs w:val="22"/>
        </w:rPr>
        <w:t xml:space="preserve">Sarah Chen, VP of Digital Transformation. Email: sarah.chen@globaltech.com. Phone: +1 (312) 555-7890. Address: GlobalTech Industries, Inc., 200 North Wacker Drive, Suite 4200, Chicago, IL 60606, USA.</w:t>
      </w:r>
    </w:p>
    <w:p>
      <w:pPr>
        <w:pStyle w:val="Heading2"/>
      </w:pPr>
      <w:r>
        <w:t xml:space="preserve">8.4 Required Appendices</w:t>
      </w:r>
    </w:p>
    <w:p>
      <w:pPr>
        <w:spacing w:after="120"/>
      </w:pPr>
      <w:r>
        <w:rPr>
          <w:rFonts w:ascii="Arial" w:cs="Arial" w:eastAsia="Arial" w:hAnsi="Arial"/>
          <w:sz w:val="22"/>
          <w:szCs w:val="22"/>
        </w:rPr>
        <w:t xml:space="preserve">Vendors must include the following appendices with their proposal submission:</w:t>
      </w:r>
    </w:p>
    <w:p>
      <w:pPr>
        <w:spacing w:after="120"/>
      </w:pPr>
      <w:r>
        <w:rPr>
          <w:rFonts w:ascii="Arial" w:cs="Arial" w:eastAsia="Arial" w:hAnsi="Arial"/>
          <w:b/>
          <w:bCs/>
          <w:sz w:val="22"/>
          <w:szCs w:val="22"/>
        </w:rPr>
        <w:t xml:space="preserve">Appendix A: </w:t>
      </w:r>
      <w:r>
        <w:rPr>
          <w:rFonts w:ascii="Arial" w:cs="Arial" w:eastAsia="Arial" w:hAnsi="Arial"/>
          <w:sz w:val="22"/>
          <w:szCs w:val="22"/>
        </w:rPr>
        <w:t xml:space="preserve">Statement of Work (SOW) Template: A draft SOW based on the vendor's proposed approach.</w:t>
      </w:r>
    </w:p>
    <w:p>
      <w:pPr>
        <w:spacing w:after="120"/>
      </w:pPr>
      <w:r>
        <w:rPr>
          <w:rFonts w:ascii="Arial" w:cs="Arial" w:eastAsia="Arial" w:hAnsi="Arial"/>
          <w:b/>
          <w:bCs/>
          <w:sz w:val="22"/>
          <w:szCs w:val="22"/>
        </w:rPr>
        <w:t xml:space="preserve">Appendix B: </w:t>
      </w:r>
      <w:r>
        <w:rPr>
          <w:rFonts w:ascii="Arial" w:cs="Arial" w:eastAsia="Arial" w:hAnsi="Arial"/>
          <w:sz w:val="22"/>
          <w:szCs w:val="22"/>
        </w:rPr>
        <w:t xml:space="preserve">Pricing Worksheet: Completed Excel workbook using the template provided in the Procurement Portal.</w:t>
      </w:r>
    </w:p>
    <w:p>
      <w:pPr>
        <w:spacing w:after="120"/>
      </w:pPr>
      <w:r>
        <w:rPr>
          <w:rFonts w:ascii="Arial" w:cs="Arial" w:eastAsia="Arial" w:hAnsi="Arial"/>
          <w:b/>
          <w:bCs/>
          <w:sz w:val="22"/>
          <w:szCs w:val="22"/>
        </w:rPr>
        <w:t xml:space="preserve">Appendix C: </w:t>
      </w:r>
      <w:r>
        <w:rPr>
          <w:rFonts w:ascii="Arial" w:cs="Arial" w:eastAsia="Arial" w:hAnsi="Arial"/>
          <w:sz w:val="22"/>
          <w:szCs w:val="22"/>
        </w:rPr>
        <w:t xml:space="preserve">Reference Forms: Completed reference forms for each of the five required customer references.</w:t>
      </w:r>
    </w:p>
    <w:p>
      <w:pPr>
        <w:spacing w:after="120"/>
      </w:pPr>
      <w:r>
        <w:rPr>
          <w:rFonts w:ascii="Arial" w:cs="Arial" w:eastAsia="Arial" w:hAnsi="Arial"/>
          <w:b/>
          <w:bCs/>
          <w:sz w:val="22"/>
          <w:szCs w:val="22"/>
        </w:rPr>
        <w:t xml:space="preserve">Appendix D: </w:t>
      </w:r>
      <w:r>
        <w:rPr>
          <w:rFonts w:ascii="Arial" w:cs="Arial" w:eastAsia="Arial" w:hAnsi="Arial"/>
          <w:sz w:val="22"/>
          <w:szCs w:val="22"/>
        </w:rPr>
        <w:t xml:space="preserve">Security &amp; Compliance Documentation: Current SOC 2 Type II report, ISO certifications, and data security architecture overview.</w:t>
      </w:r>
    </w:p>
    <w:p>
      <w:pPr>
        <w:spacing w:after="120"/>
      </w:pPr>
      <w:r>
        <w:rPr>
          <w:rFonts w:ascii="Arial" w:cs="Arial" w:eastAsia="Arial" w:hAnsi="Arial"/>
          <w:b/>
          <w:bCs/>
          <w:sz w:val="22"/>
          <w:szCs w:val="22"/>
        </w:rPr>
        <w:t xml:space="preserve">Appendix E: </w:t>
      </w:r>
      <w:r>
        <w:rPr>
          <w:rFonts w:ascii="Arial" w:cs="Arial" w:eastAsia="Arial" w:hAnsi="Arial"/>
          <w:sz w:val="22"/>
          <w:szCs w:val="22"/>
        </w:rPr>
        <w:t xml:space="preserve">Implementation Team Resumes: Key personnel resumes for proposed project manager, solution architect, technical lead, and change management lead.</w:t>
      </w:r>
    </w:p>
    <w:p>
      <w:pPr>
        <w:spacing w:after="120"/>
      </w:pPr>
      <w:r>
        <w:rPr>
          <w:rFonts w:ascii="Arial" w:cs="Arial" w:eastAsia="Arial" w:hAnsi="Arial"/>
          <w:b/>
          <w:bCs/>
          <w:sz w:val="22"/>
          <w:szCs w:val="22"/>
        </w:rPr>
        <w:t xml:space="preserve">Appendix F: </w:t>
      </w:r>
      <w:r>
        <w:rPr>
          <w:rFonts w:ascii="Arial" w:cs="Arial" w:eastAsia="Arial" w:hAnsi="Arial"/>
          <w:sz w:val="22"/>
          <w:szCs w:val="22"/>
        </w:rPr>
        <w:t xml:space="preserve">Sample Project Plan: A representative project plan (MS Project or equivalent) for the proposed implementation timeline.</w:t>
      </w:r>
    </w:p>
    <w:p>
      <w:r>
        <w:br w:type="page"/>
      </w:r>
    </w:p>
    <w:p>
      <w:pPr>
        <w:pStyle w:val="Heading1"/>
      </w:pPr>
      <w:r>
        <w:t xml:space="preserve">9. Evaluation Process &amp; Timeline</w:t>
      </w:r>
    </w:p>
    <w:p>
      <w:pPr>
        <w:pStyle w:val="Heading2"/>
      </w:pPr>
      <w:r>
        <w:t xml:space="preserve">9.1 Evaluation Process</w:t>
      </w:r>
    </w:p>
    <w:p>
      <w:pPr>
        <w:spacing w:after="120"/>
      </w:pPr>
      <w:r>
        <w:rPr>
          <w:rFonts w:ascii="Arial" w:cs="Arial" w:eastAsia="Arial" w:hAnsi="Arial"/>
          <w:sz w:val="22"/>
          <w:szCs w:val="22"/>
        </w:rPr>
        <w:t xml:space="preserve">GlobalTech will conduct a rigorous, multi-phase evaluation process designed to identify the vendor and solution that best align with our strategic objectives, technical requirements, and cultural fit. The evaluation will be led by a cross-functional Selection Committee comprising representatives from Sales, Marketing, Customer Service, Information Technology, Finance, Procurement, and Legal.</w:t>
      </w:r>
    </w:p>
    <w:p>
      <w:pPr>
        <w:pStyle w:val="Heading2"/>
      </w:pPr>
      <w:r>
        <w:t xml:space="preserve">9.2 Evaluation Timeline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000"/>
        <w:gridCol w:w="4760"/>
      </w:tblGrid>
      <w:tr>
        <w:tc>
          <w:tcPr>
            <w:tcW w:type="dxa" w:w="26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Milestone</w:t>
            </w:r>
          </w:p>
        </w:tc>
        <w:tc>
          <w:tcPr>
            <w:tcW w:type="dxa" w:w="200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Date</w:t>
            </w:r>
          </w:p>
        </w:tc>
        <w:tc>
          <w:tcPr>
            <w:tcW w:type="dxa" w:w="4760"/>
            <w:tcBorders>
              <w:top w:val="single" w:color="BBBBBB" w:sz="1"/>
              <w:left w:val="single" w:color="BBBBBB" w:sz="1"/>
              <w:bottom w:val="single" w:color="BBBBBB" w:sz="1"/>
              <w:right w:val="single" w:color="BBBBBB" w:sz="1"/>
            </w:tcBorders>
            <w:shd w:fill="1B3A5C" w:val="clear"/>
            <w:tcMar>
              <w:top w:type="dxa" w:w="60"/>
              <w:left w:type="dxa" w:w="100"/>
              <w:bottom w:type="dxa" w:w="60"/>
              <w:right w:type="dxa" w:w="100"/>
            </w:tcMar>
            <w:vAlign w:val="center"/>
          </w:tcPr>
          <w:p>
            <w:r>
              <w:rPr>
                <w:rFonts w:ascii="Arial" w:cs="Arial" w:eastAsia="Arial" w:hAnsi="Arial"/>
                <w:b/>
                <w:bCs/>
                <w:color w:val="FFFFFF"/>
                <w:sz w:val="20"/>
                <w:szCs w:val="20"/>
              </w:rPr>
              <w:t xml:space="preserve">Description</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RFP Release</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March 15, 2026</w:t>
            </w:r>
          </w:p>
        </w:tc>
        <w:tc>
          <w:tcPr>
            <w:tcW w:type="dxa" w:w="4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Distribution of RFP to pre-qualified vendors</w:t>
            </w:r>
          </w:p>
        </w:tc>
      </w:tr>
      <w:tr>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Vendor Q&amp;A Submission Deadline</w:t>
            </w:r>
          </w:p>
        </w:tc>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April 10, 2026</w:t>
            </w:r>
          </w:p>
        </w:tc>
        <w:tc>
          <w:tcPr>
            <w:tcW w:type="dxa" w:w="4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All questions must be submitted via Procurement Portal</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Q&amp;A Responses Published</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April 17, 2026</w:t>
            </w:r>
          </w:p>
        </w:tc>
        <w:tc>
          <w:tcPr>
            <w:tcW w:type="dxa" w:w="4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Consolidated responses distributed to all vendors</w:t>
            </w:r>
          </w:p>
        </w:tc>
      </w:tr>
      <w:tr>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Proposal Submission Deadline</w:t>
            </w:r>
          </w:p>
        </w:tc>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May 15, 2026</w:t>
            </w:r>
          </w:p>
        </w:tc>
        <w:tc>
          <w:tcPr>
            <w:tcW w:type="dxa" w:w="4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5:00 PM EST - no extensions</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Initial Screening</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May 16-30, 2026</w:t>
            </w:r>
          </w:p>
        </w:tc>
        <w:tc>
          <w:tcPr>
            <w:tcW w:type="dxa" w:w="4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Compliance review and initial scoring</w:t>
            </w:r>
          </w:p>
        </w:tc>
      </w:tr>
      <w:tr>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Shortlist Notification</w:t>
            </w:r>
          </w:p>
        </w:tc>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June 5, 2026</w:t>
            </w:r>
          </w:p>
        </w:tc>
        <w:tc>
          <w:tcPr>
            <w:tcW w:type="dxa" w:w="4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Top 3-4 vendors notified for demo phase</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Vendor Demonstrations</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June 15-26, 2026</w:t>
            </w:r>
          </w:p>
        </w:tc>
        <w:tc>
          <w:tcPr>
            <w:tcW w:type="dxa" w:w="4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2-day on-site demonstrations per vendor</w:t>
            </w:r>
          </w:p>
        </w:tc>
      </w:tr>
      <w:tr>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Reference Checks</w:t>
            </w:r>
          </w:p>
        </w:tc>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June 29 - July 10, 2026</w:t>
            </w:r>
          </w:p>
        </w:tc>
        <w:tc>
          <w:tcPr>
            <w:tcW w:type="dxa" w:w="4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Customer reference interviews and site visits</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Best &amp; Final Offer (BAFO)</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July 15, 2026</w:t>
            </w:r>
          </w:p>
        </w:tc>
        <w:tc>
          <w:tcPr>
            <w:tcW w:type="dxa" w:w="4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Shortlisted vendors submit revised proposals</w:t>
            </w:r>
          </w:p>
        </w:tc>
      </w:tr>
      <w:tr>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Final Selection</w:t>
            </w:r>
          </w:p>
        </w:tc>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July 31, 2026</w:t>
            </w:r>
          </w:p>
        </w:tc>
        <w:tc>
          <w:tcPr>
            <w:tcW w:type="dxa" w:w="4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Selection Committee recommendation to Executive Steering</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Contract Negotiation</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August 1-31, 2026</w:t>
            </w:r>
          </w:p>
        </w:tc>
        <w:tc>
          <w:tcPr>
            <w:tcW w:type="dxa" w:w="4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Commercial and legal terms finalization</w:t>
            </w:r>
          </w:p>
        </w:tc>
      </w:tr>
      <w:tr>
        <w:tc>
          <w:tcPr>
            <w:tcW w:type="dxa" w:w="26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Contract Execution</w:t>
            </w:r>
          </w:p>
        </w:tc>
        <w:tc>
          <w:tcPr>
            <w:tcW w:type="dxa" w:w="200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September 15, 2026</w:t>
            </w:r>
          </w:p>
        </w:tc>
        <w:tc>
          <w:tcPr>
            <w:tcW w:type="dxa" w:w="4760"/>
            <w:tcBorders>
              <w:top w:val="single" w:color="BBBBBB" w:sz="1"/>
              <w:left w:val="single" w:color="BBBBBB" w:sz="1"/>
              <w:bottom w:val="single" w:color="BBBBBB" w:sz="1"/>
              <w:right w:val="single" w:color="BBBBBB" w:sz="1"/>
            </w:tcBorders>
            <w:shd w:fill="F2F2F2" w:val="clear"/>
            <w:tcMar>
              <w:top w:type="dxa" w:w="60"/>
              <w:left w:type="dxa" w:w="100"/>
              <w:bottom w:type="dxa" w:w="60"/>
              <w:right w:type="dxa" w:w="100"/>
            </w:tcMar>
          </w:tcPr>
          <w:p>
            <w:r>
              <w:rPr>
                <w:rFonts w:ascii="Arial" w:cs="Arial" w:eastAsia="Arial" w:hAnsi="Arial"/>
                <w:sz w:val="20"/>
                <w:szCs w:val="20"/>
              </w:rPr>
              <w:t xml:space="preserve">Target date for signed agreement</w:t>
            </w:r>
          </w:p>
        </w:tc>
      </w:tr>
      <w:tr>
        <w:tc>
          <w:tcPr>
            <w:tcW w:type="dxa" w:w="26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Project Kickoff</w:t>
            </w:r>
          </w:p>
        </w:tc>
        <w:tc>
          <w:tcPr>
            <w:tcW w:type="dxa" w:w="200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October 1, 2026</w:t>
            </w:r>
          </w:p>
        </w:tc>
        <w:tc>
          <w:tcPr>
            <w:tcW w:type="dxa" w:w="4760"/>
            <w:tcBorders>
              <w:top w:val="single" w:color="BBBBBB" w:sz="1"/>
              <w:left w:val="single" w:color="BBBBBB" w:sz="1"/>
              <w:bottom w:val="single" w:color="BBBBBB" w:sz="1"/>
              <w:right w:val="single" w:color="BBBBBB" w:sz="1"/>
            </w:tcBorders>
            <w:tcMar>
              <w:top w:type="dxa" w:w="60"/>
              <w:left w:type="dxa" w:w="100"/>
              <w:bottom w:type="dxa" w:w="60"/>
              <w:right w:type="dxa" w:w="100"/>
            </w:tcMar>
          </w:tcPr>
          <w:p>
            <w:r>
              <w:rPr>
                <w:rFonts w:ascii="Arial" w:cs="Arial" w:eastAsia="Arial" w:hAnsi="Arial"/>
                <w:sz w:val="20"/>
                <w:szCs w:val="20"/>
              </w:rPr>
              <w:t xml:space="preserve">Implementation project initiation</w:t>
            </w:r>
          </w:p>
        </w:tc>
      </w:tr>
    </w:tbl>
    <w:p>
      <w:pPr>
        <w:spacing w:after="60"/>
      </w:pPr>
    </w:p>
    <w:p>
      <w:pPr>
        <w:pStyle w:val="Heading2"/>
      </w:pPr>
      <w:r>
        <w:t xml:space="preserve">9.3 Demonstration Requirements</w:t>
      </w:r>
    </w:p>
    <w:p>
      <w:pPr>
        <w:spacing w:after="120"/>
      </w:pPr>
      <w:r>
        <w:rPr>
          <w:rFonts w:ascii="Arial" w:cs="Arial" w:eastAsia="Arial" w:hAnsi="Arial"/>
          <w:sz w:val="22"/>
          <w:szCs w:val="22"/>
        </w:rPr>
        <w:t xml:space="preserve">Shortlisted vendors will be required to conduct a comprehensive two-day demonstration at GlobalTech's Chicago headquarters. The demonstration must be conducted using the vendor's production platform (not slides or mockups) and must address a set of predefined scenarios that will be provided at least two weeks prior to the demonstration date. Demonstration scenarios will cover end-to-end sales processes from lead to close, marketing campaign creation and execution workflows, customer service case management across multiple channels, executive dashboard and analytics capabilities, mobile experience for field sales representatives, administration and configuration capabilities, and integration architecture and data flow demonstration.</w:t>
      </w:r>
    </w:p>
    <w:p>
      <w:pPr>
        <w:spacing w:after="120"/>
      </w:pPr>
      <w:r>
        <w:rPr>
          <w:rFonts w:ascii="Arial" w:cs="Arial" w:eastAsia="Arial" w:hAnsi="Arial"/>
          <w:sz w:val="22"/>
          <w:szCs w:val="22"/>
        </w:rPr>
        <w:t xml:space="preserve">Each vendor will be allocated 6 hours per day for their demonstration, with time reserved for Q&amp;A. The demonstration team must include the proposed solution architect, project manager, and subject matter experts for each functional area.</w:t>
      </w:r>
    </w:p>
    <w:p>
      <w:r>
        <w:br w:type="page"/>
      </w:r>
    </w:p>
    <w:p>
      <w:pPr>
        <w:pStyle w:val="Heading1"/>
      </w:pPr>
      <w:r>
        <w:t xml:space="preserve">10. Terms &amp; Conditions</w:t>
      </w:r>
    </w:p>
    <w:p>
      <w:pPr>
        <w:pStyle w:val="Heading2"/>
      </w:pPr>
      <w:r>
        <w:t xml:space="preserve">10.1 Confidentiality</w:t>
      </w:r>
    </w:p>
    <w:p>
      <w:pPr>
        <w:spacing w:after="120"/>
      </w:pPr>
      <w:r>
        <w:rPr>
          <w:rFonts w:ascii="Arial" w:cs="Arial" w:eastAsia="Arial" w:hAnsi="Arial"/>
          <w:sz w:val="22"/>
          <w:szCs w:val="22"/>
        </w:rPr>
        <w:t xml:space="preserve">This RFP and all associated documentation contain confidential and proprietary information belonging to GlobalTech Industries, Inc. By receiving this document, each vendor acknowledges and agrees that all information contained herein shall be treated as confidential and shall not be disclosed to any third party without the prior written consent of GlobalTech. Vendors must execute the Non-Disclosure Agreement (NDA) provided as a separate document prior to or concurrent with their proposal submission. The NDA shall remain in effect for a period of three (3) years from the date of execution, regardless of whether the vendor is selected for the engagement.</w:t>
      </w:r>
    </w:p>
    <w:p>
      <w:pPr>
        <w:pStyle w:val="Heading2"/>
      </w:pPr>
      <w:r>
        <w:t xml:space="preserve">10.2 Proposal Validity</w:t>
      </w:r>
    </w:p>
    <w:p>
      <w:pPr>
        <w:spacing w:after="120"/>
      </w:pPr>
      <w:r>
        <w:rPr>
          <w:rFonts w:ascii="Arial" w:cs="Arial" w:eastAsia="Arial" w:hAnsi="Arial"/>
          <w:sz w:val="22"/>
          <w:szCs w:val="22"/>
        </w:rPr>
        <w:t xml:space="preserve">All pricing and terms included in vendor proposals must remain valid for a minimum of one hundred eighty (180) days from the proposal submission deadline of May 15, 2026. If contract negotiations extend beyond this period, GlobalTech may request an extension of proposal validity, which vendors may grant or decline at their discretion.</w:t>
      </w:r>
    </w:p>
    <w:p>
      <w:pPr>
        <w:pStyle w:val="Heading2"/>
      </w:pPr>
      <w:r>
        <w:t xml:space="preserve">10.3 Right to Reject</w:t>
      </w:r>
    </w:p>
    <w:p>
      <w:pPr>
        <w:spacing w:after="120"/>
      </w:pPr>
      <w:r>
        <w:rPr>
          <w:rFonts w:ascii="Arial" w:cs="Arial" w:eastAsia="Arial" w:hAnsi="Arial"/>
          <w:sz w:val="22"/>
          <w:szCs w:val="22"/>
        </w:rPr>
        <w:t xml:space="preserve">GlobalTech reserves the right, at its sole discretion, to reject any or all proposals received in response to this RFP, to waive any informalities or irregularities in proposals, to negotiate with one or more vendors simultaneously, to cancel this procurement at any time without obligation or liability, to modify the scope, timeline, or evaluation criteria of this RFP at any time with written notice to all participating vendors, and to request additional information or clarification from any vendor at any time during the evaluation process.</w:t>
      </w:r>
    </w:p>
    <w:p>
      <w:pPr>
        <w:spacing w:after="120"/>
      </w:pPr>
      <w:r>
        <w:rPr>
          <w:rFonts w:ascii="Arial" w:cs="Arial" w:eastAsia="Arial" w:hAnsi="Arial"/>
          <w:sz w:val="22"/>
          <w:szCs w:val="22"/>
        </w:rPr>
        <w:t xml:space="preserve">Issuance of this RFP does not constitute a commitment by GlobalTech to award a contract, and GlobalTech shall not be liable for any costs incurred by vendors in the preparation or submission of their proposals.</w:t>
      </w:r>
    </w:p>
    <w:p>
      <w:pPr>
        <w:pStyle w:val="Heading2"/>
      </w:pPr>
      <w:r>
        <w:t xml:space="preserve">10.4 Ownership of Proposals</w:t>
      </w:r>
    </w:p>
    <w:p>
      <w:pPr>
        <w:spacing w:after="120"/>
      </w:pPr>
      <w:r>
        <w:rPr>
          <w:rFonts w:ascii="Arial" w:cs="Arial" w:eastAsia="Arial" w:hAnsi="Arial"/>
          <w:sz w:val="22"/>
          <w:szCs w:val="22"/>
        </w:rPr>
        <w:t xml:space="preserve">All proposals submitted in response to this RFP shall become the property of GlobalTech Industries, Inc. upon receipt. GlobalTech will not return submitted proposals. Vendors should not include any information in their proposals that they are not willing to have disclosed to GlobalTech's internal evaluation team, legal counsel, and executive leadership.</w:t>
      </w:r>
    </w:p>
    <w:p>
      <w:pPr>
        <w:spacing w:after="120"/>
      </w:pPr>
      <w:r>
        <w:rPr>
          <w:rFonts w:ascii="Arial" w:cs="Arial" w:eastAsia="Arial" w:hAnsi="Arial"/>
          <w:sz w:val="22"/>
          <w:szCs w:val="22"/>
        </w:rPr>
        <w:t xml:space="preserve">Any intellectual property, trade secrets, or proprietary methodologies included in vendor proposals should be clearly marked as such. GlobalTech will make reasonable efforts to protect proprietary information but cannot guarantee absolute confidentiality within the evaluation process.</w:t>
      </w:r>
    </w:p>
    <w:p>
      <w:pPr>
        <w:pStyle w:val="Heading2"/>
      </w:pPr>
      <w:r>
        <w:t xml:space="preserve">10.5 Governing Law</w:t>
      </w:r>
    </w:p>
    <w:p>
      <w:pPr>
        <w:spacing w:after="120"/>
      </w:pPr>
      <w:r>
        <w:rPr>
          <w:rFonts w:ascii="Arial" w:cs="Arial" w:eastAsia="Arial" w:hAnsi="Arial"/>
          <w:sz w:val="22"/>
          <w:szCs w:val="22"/>
        </w:rPr>
        <w:t xml:space="preserve">This RFP and any resulting contract shall be governed by and construed in accordance with the laws of the State of Illinois, United States of America, without regard to its conflict of laws principles. Any disputes arising from this RFP or subsequent contract shall be subject to the exclusive jurisdiction of the state and federal courts located in Cook County, Illinois.</w:t>
      </w:r>
    </w:p>
    <w:p>
      <w:pPr>
        <w:pStyle w:val="Heading2"/>
      </w:pPr>
      <w:r>
        <w:t xml:space="preserve">10.6 Equal Opportunity</w:t>
      </w:r>
    </w:p>
    <w:p>
      <w:pPr>
        <w:spacing w:after="120"/>
      </w:pPr>
      <w:r>
        <w:rPr>
          <w:rFonts w:ascii="Arial" w:cs="Arial" w:eastAsia="Arial" w:hAnsi="Arial"/>
          <w:sz w:val="22"/>
          <w:szCs w:val="22"/>
        </w:rPr>
        <w:t xml:space="preserve">GlobalTech Industries, Inc. is an equal opportunity employer and complies with all applicable federal, state, and local laws regarding non-discrimination and affirmative action. GlobalTech encourages proposals from vendors of all sizes, including minority-owned, women-owned, veteran-owned, and small disadvantaged businesses.</w:t>
      </w:r>
    </w:p>
    <w:p>
      <w:r>
        <w:br w:type="page"/>
      </w:r>
    </w:p>
    <w:p>
      <w:pPr>
        <w:pStyle w:val="Heading1"/>
      </w:pPr>
      <w:r>
        <w:t xml:space="preserve">Contact Information</w:t>
      </w:r>
    </w:p>
    <w:p>
      <w:pPr>
        <w:spacing w:after="60"/>
      </w:pPr>
    </w:p>
    <w:p>
      <w:pPr>
        <w:spacing w:after="40"/>
      </w:pPr>
      <w:r>
        <w:rPr>
          <w:rFonts w:ascii="Arial" w:cs="Arial" w:eastAsia="Arial" w:hAnsi="Arial"/>
          <w:b/>
          <w:bCs/>
          <w:sz w:val="22"/>
          <w:szCs w:val="22"/>
        </w:rPr>
        <w:t xml:space="preserve">Primary Contact: </w:t>
      </w:r>
      <w:r>
        <w:rPr>
          <w:rFonts w:ascii="Arial" w:cs="Arial" w:eastAsia="Arial" w:hAnsi="Arial"/>
          <w:sz w:val="22"/>
          <w:szCs w:val="22"/>
        </w:rPr>
        <w:t xml:space="preserve">Sarah Chen, VP of Digital Transformation</w:t>
      </w:r>
    </w:p>
    <w:p>
      <w:pPr>
        <w:spacing w:after="40"/>
      </w:pPr>
      <w:r>
        <w:rPr>
          <w:rFonts w:ascii="Arial" w:cs="Arial" w:eastAsia="Arial" w:hAnsi="Arial"/>
          <w:b/>
          <w:bCs/>
          <w:sz w:val="22"/>
          <w:szCs w:val="22"/>
        </w:rPr>
        <w:t xml:space="preserve">Email: </w:t>
      </w:r>
      <w:r>
        <w:rPr>
          <w:rFonts w:ascii="Arial" w:cs="Arial" w:eastAsia="Arial" w:hAnsi="Arial"/>
          <w:sz w:val="22"/>
          <w:szCs w:val="22"/>
        </w:rPr>
        <w:t xml:space="preserve">sarah.chen@globaltech.com</w:t>
      </w:r>
    </w:p>
    <w:p>
      <w:pPr>
        <w:spacing w:after="40"/>
      </w:pPr>
      <w:r>
        <w:rPr>
          <w:rFonts w:ascii="Arial" w:cs="Arial" w:eastAsia="Arial" w:hAnsi="Arial"/>
          <w:b/>
          <w:bCs/>
          <w:sz w:val="22"/>
          <w:szCs w:val="22"/>
        </w:rPr>
        <w:t xml:space="preserve">Phone: </w:t>
      </w:r>
      <w:r>
        <w:rPr>
          <w:rFonts w:ascii="Arial" w:cs="Arial" w:eastAsia="Arial" w:hAnsi="Arial"/>
          <w:sz w:val="22"/>
          <w:szCs w:val="22"/>
        </w:rPr>
        <w:t xml:space="preserve">+1 (312) 555-7890</w:t>
      </w:r>
    </w:p>
    <w:p>
      <w:pPr>
        <w:spacing w:after="60"/>
      </w:pPr>
    </w:p>
    <w:p>
      <w:pPr>
        <w:spacing w:after="40"/>
      </w:pPr>
      <w:r>
        <w:rPr>
          <w:rFonts w:ascii="Arial" w:cs="Arial" w:eastAsia="Arial" w:hAnsi="Arial"/>
          <w:b/>
          <w:bCs/>
          <w:sz w:val="22"/>
          <w:szCs w:val="22"/>
        </w:rPr>
        <w:t xml:space="preserve">Secondary Contact: </w:t>
      </w:r>
      <w:r>
        <w:rPr>
          <w:rFonts w:ascii="Arial" w:cs="Arial" w:eastAsia="Arial" w:hAnsi="Arial"/>
          <w:sz w:val="22"/>
          <w:szCs w:val="22"/>
        </w:rPr>
        <w:t xml:space="preserve">Marcus Williams, Director of IT Procurement</w:t>
      </w:r>
    </w:p>
    <w:p>
      <w:pPr>
        <w:spacing w:after="40"/>
      </w:pPr>
      <w:r>
        <w:rPr>
          <w:rFonts w:ascii="Arial" w:cs="Arial" w:eastAsia="Arial" w:hAnsi="Arial"/>
          <w:b/>
          <w:bCs/>
          <w:sz w:val="22"/>
          <w:szCs w:val="22"/>
        </w:rPr>
        <w:t xml:space="preserve">Email: </w:t>
      </w:r>
      <w:r>
        <w:rPr>
          <w:rFonts w:ascii="Arial" w:cs="Arial" w:eastAsia="Arial" w:hAnsi="Arial"/>
          <w:sz w:val="22"/>
          <w:szCs w:val="22"/>
        </w:rPr>
        <w:t xml:space="preserve">marcus.williams@globaltech.com</w:t>
      </w:r>
    </w:p>
    <w:p>
      <w:pPr>
        <w:spacing w:after="40"/>
      </w:pPr>
      <w:r>
        <w:rPr>
          <w:rFonts w:ascii="Arial" w:cs="Arial" w:eastAsia="Arial" w:hAnsi="Arial"/>
          <w:b/>
          <w:bCs/>
          <w:sz w:val="22"/>
          <w:szCs w:val="22"/>
        </w:rPr>
        <w:t xml:space="preserve">Phone: </w:t>
      </w:r>
      <w:r>
        <w:rPr>
          <w:rFonts w:ascii="Arial" w:cs="Arial" w:eastAsia="Arial" w:hAnsi="Arial"/>
          <w:sz w:val="22"/>
          <w:szCs w:val="22"/>
        </w:rPr>
        <w:t xml:space="preserve">+1 (312) 555-7845</w:t>
      </w:r>
    </w:p>
    <w:p>
      <w:pPr>
        <w:spacing w:after="60"/>
      </w:pPr>
    </w:p>
    <w:p>
      <w:pPr>
        <w:spacing w:after="40"/>
      </w:pPr>
      <w:r>
        <w:rPr>
          <w:rFonts w:ascii="Arial" w:cs="Arial" w:eastAsia="Arial" w:hAnsi="Arial"/>
          <w:b/>
          <w:bCs/>
          <w:sz w:val="22"/>
          <w:szCs w:val="22"/>
        </w:rPr>
        <w:t xml:space="preserve">Mailing Address: </w:t>
      </w:r>
      <w:r>
        <w:rPr>
          <w:rFonts w:ascii="Arial" w:cs="Arial" w:eastAsia="Arial" w:hAnsi="Arial"/>
          <w:sz w:val="22"/>
          <w:szCs w:val="22"/>
        </w:rPr>
        <w:t xml:space="preserve">GlobalTech Industries, Inc.</w:t>
      </w:r>
    </w:p>
    <w:p>
      <w:pPr>
        <w:spacing w:after="40"/>
      </w:pPr>
      <w:r>
        <w:rPr>
          <w:rFonts w:ascii="Arial" w:cs="Arial" w:eastAsia="Arial" w:hAnsi="Arial"/>
          <w:sz w:val="22"/>
          <w:szCs w:val="22"/>
        </w:rPr>
        <w:t xml:space="preserve">200 North Wacker Drive, Suite 4200</w:t>
      </w:r>
    </w:p>
    <w:p>
      <w:pPr>
        <w:spacing w:after="40"/>
      </w:pPr>
      <w:r>
        <w:rPr>
          <w:rFonts w:ascii="Arial" w:cs="Arial" w:eastAsia="Arial" w:hAnsi="Arial"/>
          <w:sz w:val="22"/>
          <w:szCs w:val="22"/>
        </w:rPr>
        <w:t xml:space="preserve">Chicago, IL 60606</w:t>
      </w:r>
    </w:p>
    <w:p>
      <w:pPr>
        <w:spacing w:after="40"/>
      </w:pPr>
      <w:r>
        <w:rPr>
          <w:rFonts w:ascii="Arial" w:cs="Arial" w:eastAsia="Arial" w:hAnsi="Arial"/>
          <w:sz w:val="22"/>
          <w:szCs w:val="22"/>
        </w:rPr>
        <w:t xml:space="preserve">United States of America</w:t>
      </w:r>
    </w:p>
    <w:p>
      <w:pPr>
        <w:spacing w:after="60"/>
      </w:pPr>
    </w:p>
    <w:p>
      <w:pPr>
        <w:spacing w:after="40"/>
      </w:pPr>
      <w:r>
        <w:rPr>
          <w:rFonts w:ascii="Arial" w:cs="Arial" w:eastAsia="Arial" w:hAnsi="Arial"/>
          <w:b/>
          <w:bCs/>
          <w:sz w:val="22"/>
          <w:szCs w:val="22"/>
        </w:rPr>
        <w:t xml:space="preserve">Procurement Portal: </w:t>
      </w:r>
      <w:r>
        <w:rPr>
          <w:rFonts w:ascii="Arial" w:cs="Arial" w:eastAsia="Arial" w:hAnsi="Arial"/>
          <w:sz w:val="22"/>
          <w:szCs w:val="22"/>
        </w:rPr>
        <w:t xml:space="preserve">https://procurement.globaltech.com/rfp/GTI-2026-CRM-001</w:t>
      </w:r>
    </w:p>
    <w:p>
      <w:pPr>
        <w:spacing w:after="60"/>
      </w:pPr>
    </w:p>
    <w:p>
      <w:pPr>
        <w:spacing w:after="60"/>
      </w:pPr>
    </w:p>
    <w:p>
      <w:pPr>
        <w:pBdr>
          <w:top w:val="single" w:color="2E5C8A" w:sz="6" w:space="1"/>
        </w:pBdr>
        <w:spacing w:after="0" w:before="200"/>
        <w:jc w:val="center"/>
      </w:pPr>
    </w:p>
    <w:p>
      <w:pPr>
        <w:spacing w:before="200"/>
        <w:jc w:val="center"/>
      </w:pPr>
      <w:r>
        <w:rPr>
          <w:rFonts w:ascii="Arial" w:cs="Arial" w:eastAsia="Arial" w:hAnsi="Arial"/>
          <w:i/>
          <w:iCs/>
          <w:color w:val="888888"/>
          <w:sz w:val="20"/>
          <w:szCs w:val="20"/>
        </w:rPr>
        <w:t xml:space="preserve">End of Document</w:t>
      </w:r>
    </w:p>
    <w:p>
      <w:pPr>
        <w:spacing w:after="60"/>
        <w:jc w:val="center"/>
      </w:pPr>
      <w:r>
        <w:rPr>
          <w:rFonts w:ascii="Arial" w:cs="Arial" w:eastAsia="Arial" w:hAnsi="Arial"/>
          <w:i/>
          <w:iCs/>
          <w:color w:val="888888"/>
          <w:sz w:val="18"/>
          <w:szCs w:val="18"/>
        </w:rPr>
        <w:t xml:space="preserve">GlobalTech Industries, Inc. - Confidential</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5C8A" w:sz="4" w:space="4"/>
      </w:pBdr>
      <w:tabs>
        <w:tab w:val="right" w:pos="9026"/>
      </w:tabs>
    </w:pPr>
    <w:r>
      <w:rPr>
        <w:rFonts w:ascii="Arial" w:cs="Arial" w:eastAsia="Arial" w:hAnsi="Arial"/>
        <w:color w:val="888888"/>
        <w:sz w:val="16"/>
        <w:szCs w:val="16"/>
      </w:rPr>
      <w:t xml:space="preserve">CONFIDENTIAL</w:t>
    </w:r>
    <w:r>
      <w:rPr>
        <w:rFonts w:ascii="Arial" w:cs="Arial" w:eastAsia="Arial" w:hAnsi="Arial"/>
        <w:color w:val="888888"/>
        <w:sz w:val="16"/>
        <w:szCs w:val="16"/>
      </w:rPr>
      <w:t xml:space="preserve">	Page </w:t>
    </w:r>
    <w:r>
      <w:rPr>
        <w:rFonts w:ascii="Arial" w:cs="Arial" w:eastAsia="Arial" w:hAnsi="Arial"/>
        <w:color w:val="888888"/>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5C8A" w:sz="4" w:space="4"/>
      </w:pBdr>
      <w:tabs>
        <w:tab w:val="right" w:pos="9026"/>
      </w:tabs>
    </w:pPr>
    <w:r>
      <w:rPr>
        <w:rFonts w:ascii="Arial" w:cs="Arial" w:eastAsia="Arial" w:hAnsi="Arial"/>
        <w:color w:val="888888"/>
        <w:sz w:val="16"/>
        <w:szCs w:val="16"/>
      </w:rPr>
      <w:t xml:space="preserve">GlobalTech Industries, Inc.</w:t>
    </w:r>
    <w:r>
      <w:rPr>
        <w:rFonts w:ascii="Arial" w:cs="Arial" w:eastAsia="Arial" w:hAnsi="Arial"/>
        <w:color w:val="888888"/>
        <w:sz w:val="16"/>
        <w:szCs w:val="16"/>
      </w:rPr>
      <w:t xml:space="preserve">	RFP-GTI-2026-CRM-001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B3A5C"/>
      <w:sz w:val="32"/>
      <w:szCs w:val="32"/>
    </w:rPr>
  </w:style>
  <w:style w:type="paragraph" w:styleId="Heading2">
    <w:name w:val="Heading 2"/>
    <w:basedOn w:val="Normal"/>
    <w:next w:val="Normal"/>
    <w:qFormat/>
    <w:pPr>
      <w:spacing w:after="160" w:before="240"/>
      <w:outlineLvl w:val="1"/>
    </w:pPr>
    <w:rPr>
      <w:rFonts w:ascii="Arial" w:cs="Arial" w:eastAsia="Arial" w:hAnsi="Arial"/>
      <w:b/>
      <w:bCs/>
      <w:color w:val="2E5C8A"/>
      <w:sz w:val="26"/>
      <w:szCs w:val="26"/>
    </w:rPr>
  </w:style>
  <w:style w:type="paragraph" w:styleId="Heading3">
    <w:name w:val="Heading 3"/>
    <w:basedOn w:val="Normal"/>
    <w:next w:val="Normal"/>
    <w:qFormat/>
    <w:pPr>
      <w:spacing w:after="120" w:before="200"/>
      <w:outlineLvl w:val="2"/>
    </w:pPr>
    <w:rPr>
      <w:rFonts w:ascii="Arial" w:cs="Arial" w:eastAsia="Arial" w:hAnsi="Arial"/>
      <w:b/>
      <w:bCs/>
      <w:color w:val="44444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2026-02-26T06:52:21.780Z</dcterms:created>
  <dcterms:modified xsi:type="dcterms:W3CDTF">2026-02-26T06:52:21.781Z</dcterms:modified>
</cp:coreProperties>
</file>

<file path=docProps/custom.xml><?xml version="1.0" encoding="utf-8"?>
<Properties xmlns="http://schemas.openxmlformats.org/officeDocument/2006/custom-properties" xmlns:vt="http://schemas.openxmlformats.org/officeDocument/2006/docPropsVTypes"/>
</file>